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E310" w14:textId="77777777" w:rsidR="00573054" w:rsidRDefault="00573054" w:rsidP="00514ADE">
      <w:pPr>
        <w:contextualSpacing/>
        <w:jc w:val="center"/>
        <w:rPr>
          <w:b/>
          <w:sz w:val="26"/>
          <w:szCs w:val="26"/>
        </w:rPr>
      </w:pPr>
    </w:p>
    <w:p w14:paraId="5B5399BA" w14:textId="77777777"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r w:rsidRPr="00F8351D">
        <w:rPr>
          <w:b/>
          <w:sz w:val="26"/>
          <w:szCs w:val="26"/>
        </w:rPr>
        <w:t>THÔNG BÁO</w:t>
      </w:r>
    </w:p>
    <w:p w14:paraId="313D6843" w14:textId="73D29B2B" w:rsidR="00CF7FEC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Lãi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suất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đối</w:t>
      </w:r>
      <w:proofErr w:type="spellEnd"/>
      <w:r w:rsidRPr="00F8351D">
        <w:rPr>
          <w:b/>
          <w:sz w:val="26"/>
          <w:szCs w:val="26"/>
        </w:rPr>
        <w:t xml:space="preserve"> với </w:t>
      </w:r>
      <w:proofErr w:type="spellStart"/>
      <w:r w:rsidRPr="00F8351D">
        <w:rPr>
          <w:b/>
          <w:sz w:val="26"/>
          <w:szCs w:val="26"/>
        </w:rPr>
        <w:t>tiền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gửi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bằng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đồng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Việt</w:t>
      </w:r>
      <w:proofErr w:type="spellEnd"/>
      <w:r w:rsidRPr="00F8351D">
        <w:rPr>
          <w:b/>
          <w:sz w:val="26"/>
          <w:szCs w:val="26"/>
        </w:rPr>
        <w:t xml:space="preserve"> Nam </w:t>
      </w:r>
      <w:proofErr w:type="spellStart"/>
      <w:r w:rsidRPr="00F8351D">
        <w:rPr>
          <w:b/>
          <w:sz w:val="26"/>
          <w:szCs w:val="26"/>
        </w:rPr>
        <w:t>của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tổ</w:t>
      </w:r>
      <w:proofErr w:type="spellEnd"/>
      <w:r w:rsidR="00294CE0"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chức</w:t>
      </w:r>
      <w:proofErr w:type="spellEnd"/>
      <w:r w:rsidRPr="00F8351D">
        <w:rPr>
          <w:b/>
          <w:sz w:val="26"/>
          <w:szCs w:val="26"/>
        </w:rPr>
        <w:t xml:space="preserve">, </w:t>
      </w:r>
      <w:proofErr w:type="spellStart"/>
      <w:r w:rsidRPr="00F8351D">
        <w:rPr>
          <w:b/>
          <w:sz w:val="26"/>
          <w:szCs w:val="26"/>
        </w:rPr>
        <w:t>cá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nhân</w:t>
      </w:r>
      <w:proofErr w:type="spellEnd"/>
      <w:r w:rsidRPr="00F8351D">
        <w:rPr>
          <w:b/>
          <w:sz w:val="26"/>
          <w:szCs w:val="26"/>
        </w:rPr>
        <w:t xml:space="preserve"> </w:t>
      </w:r>
    </w:p>
    <w:p w14:paraId="1BD59734" w14:textId="77777777"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tại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Ngân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hàng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Chính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sách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xã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hội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huyện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Hớn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Quản</w:t>
      </w:r>
      <w:proofErr w:type="spellEnd"/>
    </w:p>
    <w:p w14:paraId="6C165697" w14:textId="77777777" w:rsidR="00514ADE" w:rsidRPr="00F8351D" w:rsidRDefault="00514ADE" w:rsidP="00514ADE">
      <w:pPr>
        <w:contextualSpacing/>
        <w:rPr>
          <w:sz w:val="26"/>
          <w:szCs w:val="26"/>
        </w:rPr>
      </w:pPr>
    </w:p>
    <w:p w14:paraId="3004E19B" w14:textId="77777777" w:rsidR="00514ADE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Thực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hiện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003421">
        <w:rPr>
          <w:sz w:val="26"/>
          <w:szCs w:val="26"/>
        </w:rPr>
        <w:t>Quyết</w:t>
      </w:r>
      <w:proofErr w:type="spellEnd"/>
      <w:r w:rsidR="00003421">
        <w:rPr>
          <w:sz w:val="26"/>
          <w:szCs w:val="26"/>
        </w:rPr>
        <w:t xml:space="preserve"> </w:t>
      </w:r>
      <w:proofErr w:type="spellStart"/>
      <w:r w:rsidR="00003421">
        <w:rPr>
          <w:sz w:val="26"/>
          <w:szCs w:val="26"/>
        </w:rPr>
        <w:t>định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4120D">
        <w:rPr>
          <w:sz w:val="26"/>
          <w:szCs w:val="26"/>
        </w:rPr>
        <w:t>số</w:t>
      </w:r>
      <w:proofErr w:type="spellEnd"/>
      <w:r w:rsidRPr="00F4120D">
        <w:rPr>
          <w:sz w:val="26"/>
          <w:szCs w:val="26"/>
        </w:rPr>
        <w:t xml:space="preserve"> </w:t>
      </w:r>
      <w:r w:rsidR="00812181">
        <w:rPr>
          <w:sz w:val="26"/>
          <w:szCs w:val="26"/>
        </w:rPr>
        <w:t>205</w:t>
      </w:r>
      <w:r w:rsidR="00165810" w:rsidRPr="00F4120D">
        <w:rPr>
          <w:sz w:val="26"/>
          <w:szCs w:val="26"/>
        </w:rPr>
        <w:t>/</w:t>
      </w:r>
      <w:r w:rsidR="00003421">
        <w:rPr>
          <w:sz w:val="26"/>
          <w:szCs w:val="26"/>
        </w:rPr>
        <w:t>QĐ</w:t>
      </w:r>
      <w:r w:rsidRPr="00F4120D">
        <w:rPr>
          <w:sz w:val="26"/>
          <w:szCs w:val="26"/>
        </w:rPr>
        <w:t xml:space="preserve">-NHCS </w:t>
      </w:r>
      <w:proofErr w:type="spellStart"/>
      <w:r w:rsidRPr="00F4120D">
        <w:rPr>
          <w:sz w:val="26"/>
          <w:szCs w:val="26"/>
        </w:rPr>
        <w:t>ngày</w:t>
      </w:r>
      <w:proofErr w:type="spellEnd"/>
      <w:r w:rsidR="00294CE0" w:rsidRPr="00F4120D">
        <w:rPr>
          <w:sz w:val="26"/>
          <w:szCs w:val="26"/>
        </w:rPr>
        <w:t xml:space="preserve"> </w:t>
      </w:r>
      <w:r w:rsidR="00812181">
        <w:rPr>
          <w:sz w:val="26"/>
          <w:szCs w:val="26"/>
        </w:rPr>
        <w:t>15</w:t>
      </w:r>
      <w:r w:rsidR="00003421">
        <w:rPr>
          <w:sz w:val="26"/>
          <w:szCs w:val="26"/>
        </w:rPr>
        <w:t>/</w:t>
      </w:r>
      <w:r w:rsidR="00812181">
        <w:rPr>
          <w:sz w:val="26"/>
          <w:szCs w:val="26"/>
        </w:rPr>
        <w:t>3</w:t>
      </w:r>
      <w:r w:rsidR="00003421">
        <w:rPr>
          <w:sz w:val="26"/>
          <w:szCs w:val="26"/>
        </w:rPr>
        <w:t>/2024</w:t>
      </w:r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Giám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đốc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hàng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Chính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sách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xã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hội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Bình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về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quy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định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Bình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>.</w:t>
      </w:r>
    </w:p>
    <w:p w14:paraId="464FCFCD" w14:textId="77777777" w:rsidR="007238B2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Phòng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giao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dịch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Hớn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Quản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như </w:t>
      </w:r>
      <w:proofErr w:type="spellStart"/>
      <w:r w:rsidRPr="00F8351D">
        <w:rPr>
          <w:sz w:val="26"/>
          <w:szCs w:val="26"/>
        </w:rPr>
        <w:t>sau</w:t>
      </w:r>
      <w:proofErr w:type="spellEnd"/>
      <w:r w:rsidRPr="00F8351D">
        <w:rPr>
          <w:sz w:val="26"/>
          <w:szCs w:val="26"/>
        </w:rPr>
        <w:t>:</w:t>
      </w:r>
    </w:p>
    <w:p w14:paraId="7EE3B2CD" w14:textId="77777777" w:rsidR="007238B2" w:rsidRPr="00F8351D" w:rsidRDefault="007238B2" w:rsidP="00514ADE">
      <w:pPr>
        <w:ind w:firstLine="567"/>
        <w:contextualSpacing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Đơn</w:t>
      </w:r>
      <w:proofErr w:type="spellEnd"/>
      <w:r w:rsidRPr="00F8351D">
        <w:rPr>
          <w:i/>
          <w:sz w:val="26"/>
          <w:szCs w:val="26"/>
        </w:rPr>
        <w:t xml:space="preserve"> </w:t>
      </w:r>
      <w:proofErr w:type="spellStart"/>
      <w:r w:rsidRPr="00F8351D">
        <w:rPr>
          <w:i/>
          <w:sz w:val="26"/>
          <w:szCs w:val="26"/>
        </w:rPr>
        <w:t>vị</w:t>
      </w:r>
      <w:proofErr w:type="spellEnd"/>
      <w:r w:rsidRPr="00F8351D">
        <w:rPr>
          <w:i/>
          <w:sz w:val="26"/>
          <w:szCs w:val="26"/>
        </w:rPr>
        <w:t>: %/</w:t>
      </w:r>
      <w:proofErr w:type="spellStart"/>
      <w:r w:rsidRPr="00F8351D">
        <w:rPr>
          <w:i/>
          <w:sz w:val="26"/>
          <w:szCs w:val="26"/>
        </w:rPr>
        <w:t>năm</w:t>
      </w:r>
      <w:proofErr w:type="spellEnd"/>
    </w:p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1417"/>
      </w:tblGrid>
      <w:tr w:rsidR="004C00FD" w:rsidRPr="00F8351D" w14:paraId="72B5F1D0" w14:textId="77777777" w:rsidTr="004240A2">
        <w:trPr>
          <w:trHeight w:val="1483"/>
        </w:trPr>
        <w:tc>
          <w:tcPr>
            <w:tcW w:w="709" w:type="dxa"/>
            <w:vAlign w:val="center"/>
          </w:tcPr>
          <w:p w14:paraId="004F5FAF" w14:textId="77777777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0165DC6" w14:textId="77777777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835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386" w:type="dxa"/>
            <w:vAlign w:val="center"/>
          </w:tcPr>
          <w:p w14:paraId="751813F3" w14:textId="77777777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7C24122" w14:textId="77777777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Nội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418" w:type="dxa"/>
            <w:vAlign w:val="center"/>
          </w:tcPr>
          <w:p w14:paraId="3249903E" w14:textId="37C67367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cá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417" w:type="dxa"/>
            <w:vAlign w:val="center"/>
          </w:tcPr>
          <w:p w14:paraId="4B2F5AA9" w14:textId="19B10982"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tổ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chức</w:t>
            </w:r>
            <w:proofErr w:type="spellEnd"/>
          </w:p>
        </w:tc>
      </w:tr>
      <w:tr w:rsidR="004C00FD" w:rsidRPr="00F8351D" w14:paraId="611964B8" w14:textId="77777777" w:rsidTr="004240A2">
        <w:trPr>
          <w:trHeight w:val="635"/>
        </w:trPr>
        <w:tc>
          <w:tcPr>
            <w:tcW w:w="709" w:type="dxa"/>
          </w:tcPr>
          <w:p w14:paraId="490AB265" w14:textId="77777777" w:rsidR="00831259" w:rsidRPr="00831259" w:rsidRDefault="00831259" w:rsidP="00860D3B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3A6AB405" w14:textId="77777777"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2A88E9CD" w14:textId="77777777" w:rsidR="00831259" w:rsidRPr="00831259" w:rsidRDefault="00831259" w:rsidP="00860D3B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617E29F9" w14:textId="77777777" w:rsidR="00003421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Không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và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có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</w:t>
            </w:r>
            <w:r w:rsidR="00003421">
              <w:rPr>
                <w:sz w:val="26"/>
                <w:szCs w:val="26"/>
              </w:rPr>
              <w:t>g</w:t>
            </w:r>
            <w:proofErr w:type="spellEnd"/>
          </w:p>
        </w:tc>
        <w:tc>
          <w:tcPr>
            <w:tcW w:w="1418" w:type="dxa"/>
          </w:tcPr>
          <w:p w14:paraId="401D20C1" w14:textId="77777777" w:rsidR="00831259" w:rsidRPr="00831259" w:rsidRDefault="00831259" w:rsidP="003C109F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387E6A26" w14:textId="77777777"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4BB0C11" w14:textId="77777777" w:rsidR="00831259" w:rsidRPr="00831259" w:rsidRDefault="00831259" w:rsidP="007B5FD7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76CAE753" w14:textId="77777777" w:rsidR="004C00FD" w:rsidRPr="00F8351D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 w:rsidR="007B5FD7">
              <w:rPr>
                <w:sz w:val="26"/>
                <w:szCs w:val="26"/>
                <w:lang w:val="vi-VN"/>
              </w:rPr>
              <w:t>2</w:t>
            </w:r>
          </w:p>
        </w:tc>
      </w:tr>
      <w:tr w:rsidR="004C00FD" w:rsidRPr="00F8351D" w14:paraId="4DCC89A1" w14:textId="77777777" w:rsidTr="004240A2">
        <w:trPr>
          <w:trHeight w:val="635"/>
        </w:trPr>
        <w:tc>
          <w:tcPr>
            <w:tcW w:w="709" w:type="dxa"/>
          </w:tcPr>
          <w:p w14:paraId="2639D391" w14:textId="77777777" w:rsidR="00831259" w:rsidRPr="00831259" w:rsidRDefault="00831259" w:rsidP="00860D3B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13762AA9" w14:textId="77777777"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374F45B9" w14:textId="77777777" w:rsidR="00831259" w:rsidRPr="00831259" w:rsidRDefault="00831259" w:rsidP="00860D3B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7732AA1D" w14:textId="77777777"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6DB5078E" w14:textId="77777777" w:rsidR="00831259" w:rsidRPr="00831259" w:rsidRDefault="00831259" w:rsidP="0000342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54EFB783" w14:textId="77777777" w:rsidR="004C00FD" w:rsidRPr="00003421" w:rsidRDefault="00003421" w:rsidP="007C5805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812181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0B601035" w14:textId="77777777" w:rsidR="00831259" w:rsidRPr="00831259" w:rsidRDefault="00831259" w:rsidP="007B5FD7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7F5A7F24" w14:textId="77777777" w:rsidR="004C00FD" w:rsidRPr="007B5FD7" w:rsidRDefault="00003421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</w:t>
            </w:r>
            <w:r w:rsidR="00812181">
              <w:rPr>
                <w:sz w:val="26"/>
                <w:szCs w:val="26"/>
              </w:rPr>
              <w:t>6</w:t>
            </w:r>
          </w:p>
        </w:tc>
      </w:tr>
      <w:tr w:rsidR="00812181" w:rsidRPr="00F8351D" w14:paraId="47551470" w14:textId="77777777" w:rsidTr="004240A2">
        <w:trPr>
          <w:trHeight w:val="635"/>
        </w:trPr>
        <w:tc>
          <w:tcPr>
            <w:tcW w:w="709" w:type="dxa"/>
          </w:tcPr>
          <w:p w14:paraId="3AC8C193" w14:textId="77777777" w:rsidR="00812181" w:rsidRPr="00831259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2B7074F" w14:textId="77777777" w:rsidR="00812181" w:rsidRPr="00F8351D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14:paraId="02A0328D" w14:textId="77777777" w:rsidR="00812181" w:rsidRPr="00831259" w:rsidRDefault="00812181" w:rsidP="00812181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56BFFE53" w14:textId="77777777" w:rsidR="00812181" w:rsidRPr="00F8351D" w:rsidRDefault="00812181" w:rsidP="00812181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1E8C8B5A" w14:textId="77777777" w:rsidR="00812181" w:rsidRPr="00831259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10CAB3F8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417" w:type="dxa"/>
          </w:tcPr>
          <w:p w14:paraId="4B66F461" w14:textId="77777777" w:rsidR="00812181" w:rsidRPr="00831259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7BA0B6C" w14:textId="77777777" w:rsidR="00812181" w:rsidRPr="007B5FD7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4C00FD" w:rsidRPr="00F8351D" w14:paraId="3E2A5865" w14:textId="77777777" w:rsidTr="004240A2">
        <w:trPr>
          <w:trHeight w:val="635"/>
        </w:trPr>
        <w:tc>
          <w:tcPr>
            <w:tcW w:w="709" w:type="dxa"/>
          </w:tcPr>
          <w:p w14:paraId="25FDDD3D" w14:textId="77777777" w:rsidR="00831259" w:rsidRPr="00831259" w:rsidRDefault="00831259" w:rsidP="00860D3B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171D2AC1" w14:textId="77777777"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14:paraId="54FDED6D" w14:textId="77777777" w:rsidR="00831259" w:rsidRPr="00831259" w:rsidRDefault="00831259" w:rsidP="00860D3B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2C8A5B18" w14:textId="77777777"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03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52D58228" w14:textId="77777777" w:rsidR="00831259" w:rsidRPr="00831259" w:rsidRDefault="00831259" w:rsidP="007B5FD7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63EF1B96" w14:textId="77777777" w:rsidR="004C00FD" w:rsidRPr="007B5FD7" w:rsidRDefault="00812181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417" w:type="dxa"/>
          </w:tcPr>
          <w:p w14:paraId="67022846" w14:textId="77777777" w:rsidR="00831259" w:rsidRPr="00831259" w:rsidRDefault="00831259" w:rsidP="00B757CF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58CFFD04" w14:textId="77777777" w:rsidR="004C00FD" w:rsidRPr="00003421" w:rsidRDefault="00812181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4C00FD" w:rsidRPr="00F8351D" w14:paraId="448224BB" w14:textId="77777777" w:rsidTr="004240A2">
        <w:trPr>
          <w:trHeight w:val="635"/>
        </w:trPr>
        <w:tc>
          <w:tcPr>
            <w:tcW w:w="709" w:type="dxa"/>
          </w:tcPr>
          <w:p w14:paraId="798E01A4" w14:textId="77777777" w:rsidR="00003421" w:rsidRPr="00003421" w:rsidRDefault="00003421" w:rsidP="003C109F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57E1E072" w14:textId="77777777"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14:paraId="0F6C5699" w14:textId="77777777" w:rsidR="00003421" w:rsidRPr="00003421" w:rsidRDefault="00003421" w:rsidP="003C109F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4A42F59C" w14:textId="77777777"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05D54D33" w14:textId="77777777" w:rsidR="00003421" w:rsidRPr="00003421" w:rsidRDefault="00003421" w:rsidP="007B5FD7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62FF43BD" w14:textId="77777777" w:rsidR="004C00FD" w:rsidRPr="0002603F" w:rsidRDefault="00003421" w:rsidP="007C5805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7C5805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75D69BEC" w14:textId="77777777" w:rsidR="00003421" w:rsidRPr="00003421" w:rsidRDefault="00003421" w:rsidP="00B757CF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528AD03" w14:textId="77777777" w:rsidR="004C00FD" w:rsidRPr="00003421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0342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</w:tr>
      <w:tr w:rsidR="00812181" w:rsidRPr="00F8351D" w14:paraId="3C2D6248" w14:textId="77777777" w:rsidTr="004240A2">
        <w:trPr>
          <w:trHeight w:val="635"/>
        </w:trPr>
        <w:tc>
          <w:tcPr>
            <w:tcW w:w="709" w:type="dxa"/>
          </w:tcPr>
          <w:p w14:paraId="4FC7EF34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4306C7E" w14:textId="77777777" w:rsidR="00812181" w:rsidRPr="00F8351D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14:paraId="10BEE602" w14:textId="77777777" w:rsidR="00812181" w:rsidRPr="00003421" w:rsidRDefault="00812181" w:rsidP="00812181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068A921A" w14:textId="77777777" w:rsidR="00812181" w:rsidRPr="00F8351D" w:rsidRDefault="00812181" w:rsidP="00812181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0D13ABD7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6B41A04" w14:textId="77777777" w:rsidR="00812181" w:rsidRPr="0002603F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417" w:type="dxa"/>
          </w:tcPr>
          <w:p w14:paraId="0656ED2A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FD51257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</w:tr>
      <w:tr w:rsidR="004C00FD" w:rsidRPr="00F8351D" w14:paraId="55C07281" w14:textId="77777777" w:rsidTr="004240A2">
        <w:trPr>
          <w:trHeight w:val="635"/>
        </w:trPr>
        <w:tc>
          <w:tcPr>
            <w:tcW w:w="709" w:type="dxa"/>
          </w:tcPr>
          <w:p w14:paraId="3420335B" w14:textId="77777777" w:rsidR="00003421" w:rsidRPr="00003421" w:rsidRDefault="00003421" w:rsidP="00860D3B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525F03AC" w14:textId="77777777"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14:paraId="221CC09E" w14:textId="77777777" w:rsidR="00003421" w:rsidRPr="00003421" w:rsidRDefault="00003421" w:rsidP="00860D3B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44162CCA" w14:textId="77777777"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21C10E7C" w14:textId="77777777" w:rsidR="00003421" w:rsidRPr="00003421" w:rsidRDefault="00003421" w:rsidP="007B5FD7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0655815E" w14:textId="77777777" w:rsidR="004C00FD" w:rsidRPr="007C5805" w:rsidRDefault="007C5805" w:rsidP="007C5805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B5FD7">
              <w:rPr>
                <w:sz w:val="26"/>
                <w:szCs w:val="26"/>
                <w:lang w:val="vi-VN"/>
              </w:rPr>
              <w:t>,</w:t>
            </w:r>
            <w:r w:rsidR="00812181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14:paraId="1950B038" w14:textId="77777777" w:rsidR="00003421" w:rsidRPr="00003421" w:rsidRDefault="00003421" w:rsidP="0000342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4785093E" w14:textId="77777777" w:rsidR="004C00FD" w:rsidRPr="007B5FD7" w:rsidRDefault="004C00FD" w:rsidP="007C5805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</w:t>
            </w:r>
            <w:r w:rsidR="007C5805">
              <w:rPr>
                <w:sz w:val="26"/>
                <w:szCs w:val="26"/>
              </w:rPr>
              <w:t>2</w:t>
            </w:r>
          </w:p>
        </w:tc>
      </w:tr>
      <w:tr w:rsidR="00812181" w:rsidRPr="00F8351D" w14:paraId="241F7117" w14:textId="77777777" w:rsidTr="004240A2">
        <w:trPr>
          <w:trHeight w:val="635"/>
        </w:trPr>
        <w:tc>
          <w:tcPr>
            <w:tcW w:w="709" w:type="dxa"/>
          </w:tcPr>
          <w:p w14:paraId="52F596AE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32A2668E" w14:textId="77777777" w:rsidR="00812181" w:rsidRPr="00F8351D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14:paraId="1B452B28" w14:textId="77777777" w:rsidR="00812181" w:rsidRPr="00003421" w:rsidRDefault="00812181" w:rsidP="00812181">
            <w:pPr>
              <w:spacing w:before="120" w:after="120"/>
              <w:contextualSpacing/>
              <w:jc w:val="both"/>
              <w:rPr>
                <w:sz w:val="16"/>
                <w:szCs w:val="26"/>
              </w:rPr>
            </w:pPr>
          </w:p>
          <w:p w14:paraId="479561A4" w14:textId="77777777" w:rsidR="00812181" w:rsidRPr="00F8351D" w:rsidRDefault="00812181" w:rsidP="00812181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trên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8" w:type="dxa"/>
          </w:tcPr>
          <w:p w14:paraId="48CFAEB0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626D752B" w14:textId="77777777" w:rsidR="00812181" w:rsidRPr="007C5805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14:paraId="1C34EDA8" w14:textId="77777777" w:rsidR="00812181" w:rsidRPr="00003421" w:rsidRDefault="00812181" w:rsidP="00812181">
            <w:pPr>
              <w:spacing w:before="120" w:after="120"/>
              <w:contextualSpacing/>
              <w:jc w:val="center"/>
              <w:rPr>
                <w:sz w:val="16"/>
                <w:szCs w:val="26"/>
              </w:rPr>
            </w:pPr>
          </w:p>
          <w:p w14:paraId="358E0340" w14:textId="77777777" w:rsidR="00812181" w:rsidRPr="007B5FD7" w:rsidRDefault="00812181" w:rsidP="00812181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</w:tbl>
    <w:p w14:paraId="654233BA" w14:textId="77777777" w:rsidR="00860D3B" w:rsidRPr="00F8351D" w:rsidRDefault="00860D3B" w:rsidP="008F595D">
      <w:pPr>
        <w:ind w:firstLine="720"/>
        <w:jc w:val="both"/>
        <w:rPr>
          <w:sz w:val="26"/>
          <w:szCs w:val="26"/>
        </w:rPr>
      </w:pPr>
    </w:p>
    <w:p w14:paraId="37C76580" w14:textId="5EE531B6" w:rsidR="008F595D" w:rsidRPr="00F8351D" w:rsidRDefault="008F595D" w:rsidP="00573054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Mức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r w:rsidR="004240A2">
        <w:rPr>
          <w:sz w:val="26"/>
          <w:szCs w:val="26"/>
          <w:lang w:val="vi-VN"/>
        </w:rPr>
        <w:t xml:space="preserve">đối với tiền gửi nêu </w:t>
      </w:r>
      <w:proofErr w:type="spellStart"/>
      <w:r w:rsidRPr="00F8351D">
        <w:rPr>
          <w:sz w:val="26"/>
          <w:szCs w:val="26"/>
        </w:rPr>
        <w:t>trên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áp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dụng</w:t>
      </w:r>
      <w:proofErr w:type="spellEnd"/>
      <w:r w:rsidR="00F278F1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đối</w:t>
      </w:r>
      <w:proofErr w:type="spellEnd"/>
      <w:r w:rsidR="003B6FD4" w:rsidRPr="00F8351D">
        <w:rPr>
          <w:sz w:val="26"/>
          <w:szCs w:val="26"/>
        </w:rPr>
        <w:t xml:space="preserve"> với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và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khác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được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quy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đổi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theo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5B2FE5">
        <w:rPr>
          <w:sz w:val="26"/>
          <w:szCs w:val="26"/>
        </w:rPr>
        <w:t>.</w:t>
      </w:r>
      <w:r w:rsidR="00D83519">
        <w:rPr>
          <w:sz w:val="26"/>
          <w:szCs w:val="26"/>
        </w:rPr>
        <w:t xml:space="preserve"> </w:t>
      </w:r>
      <w:proofErr w:type="spellStart"/>
      <w:r w:rsidR="00D83519" w:rsidRPr="00F8351D">
        <w:rPr>
          <w:sz w:val="26"/>
          <w:szCs w:val="26"/>
        </w:rPr>
        <w:t>Kể</w:t>
      </w:r>
      <w:proofErr w:type="spellEnd"/>
      <w:r w:rsidR="00D83519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từ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ngày</w:t>
      </w:r>
      <w:proofErr w:type="spellEnd"/>
      <w:r w:rsidRPr="00F8351D">
        <w:rPr>
          <w:sz w:val="26"/>
          <w:szCs w:val="26"/>
        </w:rPr>
        <w:t xml:space="preserve"> </w:t>
      </w:r>
      <w:r w:rsidR="00812181">
        <w:rPr>
          <w:sz w:val="26"/>
          <w:szCs w:val="26"/>
        </w:rPr>
        <w:t>16</w:t>
      </w:r>
      <w:r w:rsidR="006E358B">
        <w:rPr>
          <w:sz w:val="26"/>
          <w:szCs w:val="26"/>
        </w:rPr>
        <w:t>/</w:t>
      </w:r>
      <w:r w:rsidR="00812181">
        <w:rPr>
          <w:sz w:val="26"/>
          <w:szCs w:val="26"/>
        </w:rPr>
        <w:t>3</w:t>
      </w:r>
      <w:r w:rsidR="006E358B">
        <w:rPr>
          <w:sz w:val="26"/>
          <w:szCs w:val="26"/>
        </w:rPr>
        <w:t>/</w:t>
      </w:r>
      <w:r w:rsidR="00573054">
        <w:rPr>
          <w:sz w:val="26"/>
          <w:szCs w:val="26"/>
        </w:rPr>
        <w:t>202</w:t>
      </w:r>
      <w:r w:rsidR="005B2FE5">
        <w:rPr>
          <w:sz w:val="26"/>
          <w:szCs w:val="26"/>
        </w:rPr>
        <w:t>4</w:t>
      </w:r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và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thay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thế</w:t>
      </w:r>
      <w:proofErr w:type="spellEnd"/>
      <w:r w:rsidR="00D56E40">
        <w:rPr>
          <w:sz w:val="26"/>
          <w:szCs w:val="26"/>
          <w:lang w:val="vi-VN"/>
        </w:rPr>
        <w:t xml:space="preserve"> </w:t>
      </w:r>
      <w:proofErr w:type="spellStart"/>
      <w:r w:rsidR="007C5805">
        <w:rPr>
          <w:sz w:val="26"/>
          <w:szCs w:val="26"/>
        </w:rPr>
        <w:t>Quyết</w:t>
      </w:r>
      <w:proofErr w:type="spellEnd"/>
      <w:r w:rsidR="007C5805">
        <w:rPr>
          <w:sz w:val="26"/>
          <w:szCs w:val="26"/>
        </w:rPr>
        <w:t xml:space="preserve"> </w:t>
      </w:r>
      <w:proofErr w:type="spellStart"/>
      <w:r w:rsidR="007C5805">
        <w:rPr>
          <w:sz w:val="26"/>
          <w:szCs w:val="26"/>
        </w:rPr>
        <w:t>định</w:t>
      </w:r>
      <w:proofErr w:type="spellEnd"/>
      <w:r w:rsidR="00D56E40">
        <w:rPr>
          <w:sz w:val="26"/>
          <w:szCs w:val="26"/>
          <w:lang w:val="vi-VN"/>
        </w:rPr>
        <w:t xml:space="preserve"> số</w:t>
      </w:r>
      <w:r w:rsidR="00573054">
        <w:rPr>
          <w:sz w:val="26"/>
          <w:szCs w:val="26"/>
        </w:rPr>
        <w:t xml:space="preserve"> </w:t>
      </w:r>
      <w:r w:rsidR="00812181">
        <w:rPr>
          <w:sz w:val="26"/>
          <w:szCs w:val="26"/>
        </w:rPr>
        <w:t>128</w:t>
      </w:r>
      <w:r w:rsidR="00573054" w:rsidRPr="00F8351D">
        <w:rPr>
          <w:sz w:val="26"/>
          <w:szCs w:val="26"/>
        </w:rPr>
        <w:t>/</w:t>
      </w:r>
      <w:r w:rsidR="007C5805">
        <w:rPr>
          <w:sz w:val="26"/>
          <w:szCs w:val="26"/>
        </w:rPr>
        <w:t>QĐ</w:t>
      </w:r>
      <w:r w:rsidR="00573054" w:rsidRPr="00F8351D">
        <w:rPr>
          <w:sz w:val="26"/>
          <w:szCs w:val="26"/>
        </w:rPr>
        <w:t xml:space="preserve">-NHCS </w:t>
      </w:r>
      <w:proofErr w:type="spellStart"/>
      <w:r w:rsidR="00573054" w:rsidRPr="00F8351D">
        <w:rPr>
          <w:sz w:val="26"/>
          <w:szCs w:val="26"/>
        </w:rPr>
        <w:t>ngày</w:t>
      </w:r>
      <w:proofErr w:type="spellEnd"/>
      <w:r w:rsidR="00573054" w:rsidRPr="00F8351D">
        <w:rPr>
          <w:sz w:val="26"/>
          <w:szCs w:val="26"/>
        </w:rPr>
        <w:t xml:space="preserve"> </w:t>
      </w:r>
      <w:r w:rsidR="00812181">
        <w:rPr>
          <w:sz w:val="26"/>
          <w:szCs w:val="26"/>
        </w:rPr>
        <w:t>31</w:t>
      </w:r>
      <w:r w:rsidR="00777943">
        <w:rPr>
          <w:sz w:val="26"/>
          <w:szCs w:val="26"/>
          <w:lang w:val="vi-VN"/>
        </w:rPr>
        <w:t>/</w:t>
      </w:r>
      <w:r w:rsidR="007C5805">
        <w:rPr>
          <w:sz w:val="26"/>
          <w:szCs w:val="26"/>
        </w:rPr>
        <w:t>01</w:t>
      </w:r>
      <w:r w:rsidR="0059156D">
        <w:rPr>
          <w:sz w:val="26"/>
          <w:szCs w:val="26"/>
          <w:lang w:val="vi-VN"/>
        </w:rPr>
        <w:t>/</w:t>
      </w:r>
      <w:r w:rsidR="00573054" w:rsidRPr="00F8351D">
        <w:rPr>
          <w:sz w:val="26"/>
          <w:szCs w:val="26"/>
          <w:lang w:val="vi-VN"/>
        </w:rPr>
        <w:t>202</w:t>
      </w:r>
      <w:r w:rsidR="007C5805">
        <w:rPr>
          <w:sz w:val="26"/>
          <w:szCs w:val="26"/>
        </w:rPr>
        <w:t>4</w:t>
      </w:r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Giám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đốc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Bình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về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quy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định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lãi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suất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đối</w:t>
      </w:r>
      <w:proofErr w:type="spellEnd"/>
      <w:r w:rsidR="00573054" w:rsidRPr="00F8351D">
        <w:rPr>
          <w:sz w:val="26"/>
          <w:szCs w:val="26"/>
        </w:rPr>
        <w:t xml:space="preserve"> với </w:t>
      </w:r>
      <w:proofErr w:type="spellStart"/>
      <w:r w:rsidR="00573054" w:rsidRPr="00F8351D">
        <w:rPr>
          <w:sz w:val="26"/>
          <w:szCs w:val="26"/>
        </w:rPr>
        <w:t>tiền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gửi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bằng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đồng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Việt</w:t>
      </w:r>
      <w:proofErr w:type="spellEnd"/>
      <w:r w:rsidR="00573054" w:rsidRPr="00F8351D">
        <w:rPr>
          <w:sz w:val="26"/>
          <w:szCs w:val="26"/>
        </w:rPr>
        <w:t xml:space="preserve"> Nam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tổ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chức</w:t>
      </w:r>
      <w:proofErr w:type="spellEnd"/>
      <w:r w:rsidR="00573054" w:rsidRPr="00F8351D">
        <w:rPr>
          <w:sz w:val="26"/>
          <w:szCs w:val="26"/>
        </w:rPr>
        <w:t xml:space="preserve">, </w:t>
      </w:r>
      <w:proofErr w:type="spellStart"/>
      <w:r w:rsidR="00573054" w:rsidRPr="00F8351D">
        <w:rPr>
          <w:sz w:val="26"/>
          <w:szCs w:val="26"/>
        </w:rPr>
        <w:t>cá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nhân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tại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Bình </w:t>
      </w:r>
      <w:proofErr w:type="spellStart"/>
      <w:r w:rsidR="005B2FE5">
        <w:rPr>
          <w:sz w:val="26"/>
          <w:szCs w:val="26"/>
        </w:rPr>
        <w:t>Phước</w:t>
      </w:r>
      <w:proofErr w:type="spellEnd"/>
      <w:r w:rsidR="005B2FE5">
        <w:rPr>
          <w:sz w:val="26"/>
          <w:szCs w:val="26"/>
        </w:rPr>
        <w:t>./.</w:t>
      </w:r>
    </w:p>
    <w:p w14:paraId="778DADCC" w14:textId="77777777" w:rsidR="00CF7FEC" w:rsidRPr="00F8351D" w:rsidRDefault="00CF7FEC" w:rsidP="008F595D">
      <w:pPr>
        <w:ind w:firstLine="720"/>
        <w:jc w:val="both"/>
        <w:rPr>
          <w:sz w:val="26"/>
          <w:szCs w:val="26"/>
        </w:rPr>
      </w:pPr>
      <w:r w:rsidRPr="00F8351D">
        <w:rPr>
          <w:sz w:val="26"/>
          <w:szCs w:val="26"/>
        </w:rPr>
        <w:t xml:space="preserve">  </w:t>
      </w:r>
    </w:p>
    <w:p w14:paraId="11516432" w14:textId="77777777" w:rsidR="00CF7FEC" w:rsidRPr="00F8351D" w:rsidRDefault="00165810" w:rsidP="008F595D">
      <w:pPr>
        <w:ind w:firstLine="720"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Nguồn</w:t>
      </w:r>
      <w:proofErr w:type="spellEnd"/>
      <w:r w:rsidRPr="00F8351D">
        <w:rPr>
          <w:i/>
          <w:sz w:val="26"/>
          <w:szCs w:val="26"/>
        </w:rPr>
        <w:t>: N</w:t>
      </w:r>
      <w:r w:rsidR="00CF7FEC" w:rsidRPr="00F8351D">
        <w:rPr>
          <w:i/>
          <w:sz w:val="26"/>
          <w:szCs w:val="26"/>
        </w:rPr>
        <w:t xml:space="preserve">HCSXH </w:t>
      </w:r>
      <w:proofErr w:type="spellStart"/>
      <w:r w:rsidR="00CF7FEC" w:rsidRPr="00F8351D">
        <w:rPr>
          <w:i/>
          <w:sz w:val="26"/>
          <w:szCs w:val="26"/>
        </w:rPr>
        <w:t>huyện</w:t>
      </w:r>
      <w:proofErr w:type="spellEnd"/>
    </w:p>
    <w:sectPr w:rsidR="00CF7FEC" w:rsidRPr="00F8351D" w:rsidSect="00E878CC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314"/>
    <w:rsid w:val="00003421"/>
    <w:rsid w:val="0000709D"/>
    <w:rsid w:val="00011476"/>
    <w:rsid w:val="0002603F"/>
    <w:rsid w:val="0002775F"/>
    <w:rsid w:val="000519BC"/>
    <w:rsid w:val="000655A8"/>
    <w:rsid w:val="00066EF3"/>
    <w:rsid w:val="00070836"/>
    <w:rsid w:val="00083327"/>
    <w:rsid w:val="0009281F"/>
    <w:rsid w:val="000A2818"/>
    <w:rsid w:val="000A5447"/>
    <w:rsid w:val="000A6DD8"/>
    <w:rsid w:val="000A70F1"/>
    <w:rsid w:val="000B5CFD"/>
    <w:rsid w:val="000B6874"/>
    <w:rsid w:val="000E2B3F"/>
    <w:rsid w:val="001222D7"/>
    <w:rsid w:val="00125D69"/>
    <w:rsid w:val="00134AF0"/>
    <w:rsid w:val="0014537E"/>
    <w:rsid w:val="001511DF"/>
    <w:rsid w:val="001527C9"/>
    <w:rsid w:val="00162D7B"/>
    <w:rsid w:val="00165810"/>
    <w:rsid w:val="00167605"/>
    <w:rsid w:val="00174B75"/>
    <w:rsid w:val="001A13DF"/>
    <w:rsid w:val="001A477B"/>
    <w:rsid w:val="001A5569"/>
    <w:rsid w:val="001C7335"/>
    <w:rsid w:val="001D23A8"/>
    <w:rsid w:val="001D7143"/>
    <w:rsid w:val="001E0DB0"/>
    <w:rsid w:val="001E0F5B"/>
    <w:rsid w:val="001E1A79"/>
    <w:rsid w:val="001E6659"/>
    <w:rsid w:val="00206397"/>
    <w:rsid w:val="00216238"/>
    <w:rsid w:val="00216918"/>
    <w:rsid w:val="00225EDB"/>
    <w:rsid w:val="00230DC4"/>
    <w:rsid w:val="00231E13"/>
    <w:rsid w:val="00233DDF"/>
    <w:rsid w:val="00237AC3"/>
    <w:rsid w:val="00240FE3"/>
    <w:rsid w:val="00244147"/>
    <w:rsid w:val="002451E6"/>
    <w:rsid w:val="00245B56"/>
    <w:rsid w:val="00247E4B"/>
    <w:rsid w:val="002617DD"/>
    <w:rsid w:val="00261CB3"/>
    <w:rsid w:val="002652A1"/>
    <w:rsid w:val="00271B62"/>
    <w:rsid w:val="00273877"/>
    <w:rsid w:val="002760EE"/>
    <w:rsid w:val="00292736"/>
    <w:rsid w:val="002932B9"/>
    <w:rsid w:val="00294CE0"/>
    <w:rsid w:val="002A1057"/>
    <w:rsid w:val="002A5044"/>
    <w:rsid w:val="002C3DB2"/>
    <w:rsid w:val="00305665"/>
    <w:rsid w:val="003059AB"/>
    <w:rsid w:val="003123DF"/>
    <w:rsid w:val="00315D40"/>
    <w:rsid w:val="00321DE9"/>
    <w:rsid w:val="00336436"/>
    <w:rsid w:val="003378D3"/>
    <w:rsid w:val="00341BD6"/>
    <w:rsid w:val="00345173"/>
    <w:rsid w:val="00355EDB"/>
    <w:rsid w:val="00355F26"/>
    <w:rsid w:val="00357AC0"/>
    <w:rsid w:val="00364F1A"/>
    <w:rsid w:val="00371812"/>
    <w:rsid w:val="00386127"/>
    <w:rsid w:val="00390499"/>
    <w:rsid w:val="00390F8E"/>
    <w:rsid w:val="0039107C"/>
    <w:rsid w:val="003A2178"/>
    <w:rsid w:val="003A50C0"/>
    <w:rsid w:val="003B6FD4"/>
    <w:rsid w:val="003C109F"/>
    <w:rsid w:val="003C2262"/>
    <w:rsid w:val="003C6470"/>
    <w:rsid w:val="003D0354"/>
    <w:rsid w:val="003D0424"/>
    <w:rsid w:val="003F208C"/>
    <w:rsid w:val="003F7923"/>
    <w:rsid w:val="00405A0C"/>
    <w:rsid w:val="0040750D"/>
    <w:rsid w:val="00407AA3"/>
    <w:rsid w:val="00410233"/>
    <w:rsid w:val="004240A2"/>
    <w:rsid w:val="00427A9C"/>
    <w:rsid w:val="00430211"/>
    <w:rsid w:val="00433791"/>
    <w:rsid w:val="00447C6B"/>
    <w:rsid w:val="00450EE5"/>
    <w:rsid w:val="004524AE"/>
    <w:rsid w:val="00482F4A"/>
    <w:rsid w:val="00484053"/>
    <w:rsid w:val="00487A71"/>
    <w:rsid w:val="004C00FD"/>
    <w:rsid w:val="004C1FC9"/>
    <w:rsid w:val="004C3FA0"/>
    <w:rsid w:val="004C5C5B"/>
    <w:rsid w:val="004C5F4F"/>
    <w:rsid w:val="004E0DC4"/>
    <w:rsid w:val="004E119F"/>
    <w:rsid w:val="004F02E2"/>
    <w:rsid w:val="004F2A2E"/>
    <w:rsid w:val="004F729D"/>
    <w:rsid w:val="00502D06"/>
    <w:rsid w:val="005119FA"/>
    <w:rsid w:val="00514ADE"/>
    <w:rsid w:val="005223A0"/>
    <w:rsid w:val="0052766A"/>
    <w:rsid w:val="005407F4"/>
    <w:rsid w:val="00543DD3"/>
    <w:rsid w:val="00551D48"/>
    <w:rsid w:val="005579AF"/>
    <w:rsid w:val="00564F92"/>
    <w:rsid w:val="00572DF3"/>
    <w:rsid w:val="00573054"/>
    <w:rsid w:val="0059156D"/>
    <w:rsid w:val="005A517C"/>
    <w:rsid w:val="005A63FF"/>
    <w:rsid w:val="005A7A6F"/>
    <w:rsid w:val="005B2FE5"/>
    <w:rsid w:val="005B63EB"/>
    <w:rsid w:val="005B720C"/>
    <w:rsid w:val="005C3B2C"/>
    <w:rsid w:val="005C7CE0"/>
    <w:rsid w:val="005E1207"/>
    <w:rsid w:val="0062362E"/>
    <w:rsid w:val="00630EDB"/>
    <w:rsid w:val="00633FCB"/>
    <w:rsid w:val="006454E8"/>
    <w:rsid w:val="00667540"/>
    <w:rsid w:val="006769DB"/>
    <w:rsid w:val="006A06F2"/>
    <w:rsid w:val="006C1429"/>
    <w:rsid w:val="006C3F9B"/>
    <w:rsid w:val="006D0BB3"/>
    <w:rsid w:val="006E358B"/>
    <w:rsid w:val="006F4672"/>
    <w:rsid w:val="007015B0"/>
    <w:rsid w:val="00703C0A"/>
    <w:rsid w:val="00707DEA"/>
    <w:rsid w:val="00710781"/>
    <w:rsid w:val="00711178"/>
    <w:rsid w:val="007238B2"/>
    <w:rsid w:val="007260CB"/>
    <w:rsid w:val="0072689C"/>
    <w:rsid w:val="00735739"/>
    <w:rsid w:val="00750749"/>
    <w:rsid w:val="007622AB"/>
    <w:rsid w:val="00763AA5"/>
    <w:rsid w:val="007667D1"/>
    <w:rsid w:val="00777943"/>
    <w:rsid w:val="0078135C"/>
    <w:rsid w:val="00785197"/>
    <w:rsid w:val="007A4565"/>
    <w:rsid w:val="007B330F"/>
    <w:rsid w:val="007B5FD7"/>
    <w:rsid w:val="007C2B5C"/>
    <w:rsid w:val="007C5805"/>
    <w:rsid w:val="007D2314"/>
    <w:rsid w:val="007D54E9"/>
    <w:rsid w:val="007D79E7"/>
    <w:rsid w:val="007D7AEF"/>
    <w:rsid w:val="007E1485"/>
    <w:rsid w:val="007F1856"/>
    <w:rsid w:val="0080462F"/>
    <w:rsid w:val="00812181"/>
    <w:rsid w:val="008152EC"/>
    <w:rsid w:val="00820C68"/>
    <w:rsid w:val="00824E41"/>
    <w:rsid w:val="00825137"/>
    <w:rsid w:val="00826429"/>
    <w:rsid w:val="008311F9"/>
    <w:rsid w:val="00831259"/>
    <w:rsid w:val="00840D24"/>
    <w:rsid w:val="00860D3B"/>
    <w:rsid w:val="0086189B"/>
    <w:rsid w:val="00866A28"/>
    <w:rsid w:val="008824C2"/>
    <w:rsid w:val="00891297"/>
    <w:rsid w:val="008918D3"/>
    <w:rsid w:val="00892FB5"/>
    <w:rsid w:val="00895DC7"/>
    <w:rsid w:val="008A11F1"/>
    <w:rsid w:val="008C1107"/>
    <w:rsid w:val="008C4F55"/>
    <w:rsid w:val="008D0196"/>
    <w:rsid w:val="008D0B7E"/>
    <w:rsid w:val="008E0DC5"/>
    <w:rsid w:val="008E407D"/>
    <w:rsid w:val="008F09F8"/>
    <w:rsid w:val="008F314F"/>
    <w:rsid w:val="008F447E"/>
    <w:rsid w:val="008F595D"/>
    <w:rsid w:val="009017A5"/>
    <w:rsid w:val="00907AFC"/>
    <w:rsid w:val="00915972"/>
    <w:rsid w:val="00916584"/>
    <w:rsid w:val="00932666"/>
    <w:rsid w:val="0094200C"/>
    <w:rsid w:val="00947DFD"/>
    <w:rsid w:val="00947F78"/>
    <w:rsid w:val="009541BD"/>
    <w:rsid w:val="009609C0"/>
    <w:rsid w:val="009726DA"/>
    <w:rsid w:val="009956B3"/>
    <w:rsid w:val="009A4573"/>
    <w:rsid w:val="009C3B66"/>
    <w:rsid w:val="009D3644"/>
    <w:rsid w:val="009E7A49"/>
    <w:rsid w:val="009F480F"/>
    <w:rsid w:val="009F4DD4"/>
    <w:rsid w:val="00A006DB"/>
    <w:rsid w:val="00A01482"/>
    <w:rsid w:val="00A02070"/>
    <w:rsid w:val="00A2070F"/>
    <w:rsid w:val="00A44735"/>
    <w:rsid w:val="00A46C2D"/>
    <w:rsid w:val="00A51309"/>
    <w:rsid w:val="00A53146"/>
    <w:rsid w:val="00A6440D"/>
    <w:rsid w:val="00A8360F"/>
    <w:rsid w:val="00A87626"/>
    <w:rsid w:val="00AB1389"/>
    <w:rsid w:val="00AB2B25"/>
    <w:rsid w:val="00AB5D16"/>
    <w:rsid w:val="00AC1EB4"/>
    <w:rsid w:val="00AF1398"/>
    <w:rsid w:val="00AF3C04"/>
    <w:rsid w:val="00B03A7F"/>
    <w:rsid w:val="00B078E7"/>
    <w:rsid w:val="00B173EF"/>
    <w:rsid w:val="00B20FFA"/>
    <w:rsid w:val="00B30F39"/>
    <w:rsid w:val="00B45066"/>
    <w:rsid w:val="00B5319D"/>
    <w:rsid w:val="00B536FC"/>
    <w:rsid w:val="00B61D3B"/>
    <w:rsid w:val="00B64F42"/>
    <w:rsid w:val="00B747CC"/>
    <w:rsid w:val="00B757CF"/>
    <w:rsid w:val="00B90DA9"/>
    <w:rsid w:val="00BD5FC6"/>
    <w:rsid w:val="00BE768C"/>
    <w:rsid w:val="00BF3E2F"/>
    <w:rsid w:val="00BF6EAF"/>
    <w:rsid w:val="00C16285"/>
    <w:rsid w:val="00C2216C"/>
    <w:rsid w:val="00C27296"/>
    <w:rsid w:val="00C30278"/>
    <w:rsid w:val="00C36D41"/>
    <w:rsid w:val="00C4398C"/>
    <w:rsid w:val="00C66308"/>
    <w:rsid w:val="00C66488"/>
    <w:rsid w:val="00C70BE0"/>
    <w:rsid w:val="00C7247C"/>
    <w:rsid w:val="00C81EDE"/>
    <w:rsid w:val="00C8313B"/>
    <w:rsid w:val="00CB15CC"/>
    <w:rsid w:val="00CB73DE"/>
    <w:rsid w:val="00CE381B"/>
    <w:rsid w:val="00CE47F2"/>
    <w:rsid w:val="00CE6362"/>
    <w:rsid w:val="00CF5B3E"/>
    <w:rsid w:val="00CF74A7"/>
    <w:rsid w:val="00CF7FEC"/>
    <w:rsid w:val="00D15EC1"/>
    <w:rsid w:val="00D2028E"/>
    <w:rsid w:val="00D21F2D"/>
    <w:rsid w:val="00D24AEB"/>
    <w:rsid w:val="00D25BFD"/>
    <w:rsid w:val="00D27787"/>
    <w:rsid w:val="00D307C7"/>
    <w:rsid w:val="00D45E4C"/>
    <w:rsid w:val="00D52BA4"/>
    <w:rsid w:val="00D56E40"/>
    <w:rsid w:val="00D6366E"/>
    <w:rsid w:val="00D76F43"/>
    <w:rsid w:val="00D77497"/>
    <w:rsid w:val="00D82F01"/>
    <w:rsid w:val="00D83519"/>
    <w:rsid w:val="00D96B3F"/>
    <w:rsid w:val="00DA6B51"/>
    <w:rsid w:val="00DB03E2"/>
    <w:rsid w:val="00DD1FE9"/>
    <w:rsid w:val="00DD27F1"/>
    <w:rsid w:val="00DD4641"/>
    <w:rsid w:val="00DE1059"/>
    <w:rsid w:val="00DE6021"/>
    <w:rsid w:val="00DF262F"/>
    <w:rsid w:val="00E07F1A"/>
    <w:rsid w:val="00E44542"/>
    <w:rsid w:val="00E47B75"/>
    <w:rsid w:val="00E57CDD"/>
    <w:rsid w:val="00E6014C"/>
    <w:rsid w:val="00E67A77"/>
    <w:rsid w:val="00E72150"/>
    <w:rsid w:val="00E7518F"/>
    <w:rsid w:val="00E80A3A"/>
    <w:rsid w:val="00E878CC"/>
    <w:rsid w:val="00E91BE9"/>
    <w:rsid w:val="00E92C8D"/>
    <w:rsid w:val="00EC315F"/>
    <w:rsid w:val="00EF0B13"/>
    <w:rsid w:val="00F00329"/>
    <w:rsid w:val="00F05921"/>
    <w:rsid w:val="00F15F4D"/>
    <w:rsid w:val="00F263AD"/>
    <w:rsid w:val="00F278F1"/>
    <w:rsid w:val="00F338EA"/>
    <w:rsid w:val="00F4120D"/>
    <w:rsid w:val="00F43C89"/>
    <w:rsid w:val="00F46F64"/>
    <w:rsid w:val="00F576BD"/>
    <w:rsid w:val="00F6745F"/>
    <w:rsid w:val="00F75000"/>
    <w:rsid w:val="00F8351D"/>
    <w:rsid w:val="00F853D8"/>
    <w:rsid w:val="00F85B90"/>
    <w:rsid w:val="00FB45E5"/>
    <w:rsid w:val="00FC5442"/>
    <w:rsid w:val="00FC7081"/>
    <w:rsid w:val="00FD2FA2"/>
    <w:rsid w:val="00FE2803"/>
    <w:rsid w:val="00FE302E"/>
    <w:rsid w:val="00FE6A39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A9313"/>
  <w15:docId w15:val="{F6111F15-ABCE-499A-AEC5-50ECFE5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2E"/>
    <w:rPr>
      <w:sz w:val="24"/>
      <w:szCs w:val="24"/>
    </w:rPr>
  </w:style>
  <w:style w:type="paragraph" w:styleId="Heading1">
    <w:name w:val="heading 1"/>
    <w:basedOn w:val="Normal"/>
    <w:qFormat/>
    <w:rsid w:val="007D23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13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D2314"/>
  </w:style>
  <w:style w:type="character" w:customStyle="1" w:styleId="Date1">
    <w:name w:val="Date1"/>
    <w:basedOn w:val="DefaultParagraphFont"/>
    <w:rsid w:val="007D2314"/>
  </w:style>
  <w:style w:type="character" w:customStyle="1" w:styleId="apple-converted-space">
    <w:name w:val="apple-converted-space"/>
    <w:basedOn w:val="DefaultParagraphFont"/>
    <w:rsid w:val="007D2314"/>
  </w:style>
  <w:style w:type="character" w:styleId="Strong">
    <w:name w:val="Strong"/>
    <w:qFormat/>
    <w:rsid w:val="00820C68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A13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1D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3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6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7A07-75EE-4669-9575-5967DA92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bk</cp:lastModifiedBy>
  <cp:revision>105</cp:revision>
  <cp:lastPrinted>2020-05-11T01:29:00Z</cp:lastPrinted>
  <dcterms:created xsi:type="dcterms:W3CDTF">2020-05-11T06:39:00Z</dcterms:created>
  <dcterms:modified xsi:type="dcterms:W3CDTF">2024-03-18T04:44:00Z</dcterms:modified>
</cp:coreProperties>
</file>