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54" w:rsidRDefault="00573054" w:rsidP="00514ADE">
      <w:pPr>
        <w:contextualSpacing/>
        <w:jc w:val="center"/>
        <w:rPr>
          <w:b/>
          <w:sz w:val="26"/>
          <w:szCs w:val="26"/>
        </w:rPr>
      </w:pPr>
    </w:p>
    <w:p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r w:rsidRPr="00F8351D">
        <w:rPr>
          <w:b/>
          <w:sz w:val="26"/>
          <w:szCs w:val="26"/>
        </w:rPr>
        <w:t>THÔNG BÁO</w:t>
      </w:r>
    </w:p>
    <w:p w:rsidR="00CF7FEC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Lãi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suất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tối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đối</w:t>
      </w:r>
      <w:proofErr w:type="spellEnd"/>
      <w:r w:rsidRPr="00F8351D">
        <w:rPr>
          <w:b/>
          <w:sz w:val="26"/>
          <w:szCs w:val="26"/>
        </w:rPr>
        <w:t xml:space="preserve"> với </w:t>
      </w:r>
      <w:proofErr w:type="spellStart"/>
      <w:r w:rsidRPr="00F8351D">
        <w:rPr>
          <w:b/>
          <w:sz w:val="26"/>
          <w:szCs w:val="26"/>
        </w:rPr>
        <w:t>tiền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gửi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bằng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đồng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Việt</w:t>
      </w:r>
      <w:proofErr w:type="spellEnd"/>
      <w:r w:rsidRPr="00F8351D">
        <w:rPr>
          <w:b/>
          <w:sz w:val="26"/>
          <w:szCs w:val="26"/>
        </w:rPr>
        <w:t xml:space="preserve"> Nam </w:t>
      </w:r>
      <w:proofErr w:type="spellStart"/>
      <w:r w:rsidRPr="00F8351D">
        <w:rPr>
          <w:b/>
          <w:sz w:val="26"/>
          <w:szCs w:val="26"/>
        </w:rPr>
        <w:t>của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tổ</w:t>
      </w:r>
      <w:proofErr w:type="spellEnd"/>
      <w:r w:rsidR="00294CE0"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chức</w:t>
      </w:r>
      <w:proofErr w:type="spellEnd"/>
      <w:r w:rsidRPr="00F8351D">
        <w:rPr>
          <w:b/>
          <w:sz w:val="26"/>
          <w:szCs w:val="26"/>
        </w:rPr>
        <w:t xml:space="preserve">, </w:t>
      </w:r>
      <w:proofErr w:type="spellStart"/>
      <w:r w:rsidRPr="00F8351D">
        <w:rPr>
          <w:b/>
          <w:sz w:val="26"/>
          <w:szCs w:val="26"/>
        </w:rPr>
        <w:t>cá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nhân</w:t>
      </w:r>
      <w:proofErr w:type="spellEnd"/>
      <w:r w:rsidRPr="00F8351D">
        <w:rPr>
          <w:b/>
          <w:sz w:val="26"/>
          <w:szCs w:val="26"/>
        </w:rPr>
        <w:t xml:space="preserve"> </w:t>
      </w:r>
    </w:p>
    <w:p w:rsidR="00514ADE" w:rsidRPr="00F8351D" w:rsidRDefault="00514ADE" w:rsidP="00514ADE">
      <w:pPr>
        <w:contextualSpacing/>
        <w:jc w:val="center"/>
        <w:rPr>
          <w:b/>
          <w:sz w:val="26"/>
          <w:szCs w:val="26"/>
        </w:rPr>
      </w:pPr>
      <w:proofErr w:type="spellStart"/>
      <w:r w:rsidRPr="00F8351D">
        <w:rPr>
          <w:b/>
          <w:sz w:val="26"/>
          <w:szCs w:val="26"/>
        </w:rPr>
        <w:t>tại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Ngân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hàng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Chính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sách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xã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hội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huyện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Hớn</w:t>
      </w:r>
      <w:proofErr w:type="spellEnd"/>
      <w:r w:rsidRPr="00F8351D">
        <w:rPr>
          <w:b/>
          <w:sz w:val="26"/>
          <w:szCs w:val="26"/>
        </w:rPr>
        <w:t xml:space="preserve"> </w:t>
      </w:r>
      <w:proofErr w:type="spellStart"/>
      <w:r w:rsidRPr="00F8351D">
        <w:rPr>
          <w:b/>
          <w:sz w:val="26"/>
          <w:szCs w:val="26"/>
        </w:rPr>
        <w:t>Quản</w:t>
      </w:r>
      <w:proofErr w:type="spellEnd"/>
    </w:p>
    <w:p w:rsidR="00514ADE" w:rsidRPr="00F8351D" w:rsidRDefault="00514ADE" w:rsidP="00514ADE">
      <w:pPr>
        <w:contextualSpacing/>
        <w:rPr>
          <w:sz w:val="26"/>
          <w:szCs w:val="26"/>
        </w:rPr>
      </w:pPr>
    </w:p>
    <w:p w:rsidR="00514ADE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Thực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hiện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4120D">
        <w:rPr>
          <w:sz w:val="26"/>
          <w:szCs w:val="26"/>
        </w:rPr>
        <w:t>số</w:t>
      </w:r>
      <w:proofErr w:type="spellEnd"/>
      <w:r w:rsidRPr="00F4120D">
        <w:rPr>
          <w:sz w:val="26"/>
          <w:szCs w:val="26"/>
        </w:rPr>
        <w:t xml:space="preserve"> </w:t>
      </w:r>
      <w:r w:rsidR="00F27B2C">
        <w:rPr>
          <w:sz w:val="26"/>
          <w:szCs w:val="26"/>
          <w:lang w:val="vi-VN"/>
        </w:rPr>
        <w:t>927</w:t>
      </w:r>
      <w:r w:rsidRPr="00F4120D">
        <w:rPr>
          <w:sz w:val="26"/>
          <w:szCs w:val="26"/>
        </w:rPr>
        <w:t xml:space="preserve">TB-NHCS </w:t>
      </w:r>
      <w:proofErr w:type="spellStart"/>
      <w:r w:rsidRPr="00F4120D">
        <w:rPr>
          <w:sz w:val="26"/>
          <w:szCs w:val="26"/>
        </w:rPr>
        <w:t>ngày</w:t>
      </w:r>
      <w:proofErr w:type="spellEnd"/>
      <w:r w:rsidR="00294CE0" w:rsidRPr="00F4120D">
        <w:rPr>
          <w:sz w:val="26"/>
          <w:szCs w:val="26"/>
        </w:rPr>
        <w:t xml:space="preserve"> </w:t>
      </w:r>
      <w:r w:rsidR="00F27B2C">
        <w:rPr>
          <w:sz w:val="26"/>
          <w:szCs w:val="26"/>
          <w:lang w:val="vi-VN"/>
        </w:rPr>
        <w:t>22</w:t>
      </w:r>
      <w:r w:rsidR="007B5FD7">
        <w:rPr>
          <w:sz w:val="26"/>
          <w:szCs w:val="26"/>
          <w:lang w:val="vi-VN"/>
        </w:rPr>
        <w:t>/12</w:t>
      </w:r>
      <w:r w:rsidR="00407AA3" w:rsidRPr="00F4120D">
        <w:rPr>
          <w:sz w:val="26"/>
          <w:szCs w:val="26"/>
        </w:rPr>
        <w:t>/</w:t>
      </w:r>
      <w:r w:rsidR="00573054" w:rsidRPr="00F4120D">
        <w:rPr>
          <w:sz w:val="26"/>
          <w:szCs w:val="26"/>
        </w:rPr>
        <w:t>2023</w:t>
      </w:r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Giám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đốc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hàng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Chính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sách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xã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hội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Bình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về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quy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định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tối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chi </w:t>
      </w:r>
      <w:proofErr w:type="spellStart"/>
      <w:r w:rsidRPr="00F8351D">
        <w:rPr>
          <w:sz w:val="26"/>
          <w:szCs w:val="26"/>
        </w:rPr>
        <w:t>nhánh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tỉnh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Bình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Phước</w:t>
      </w:r>
      <w:proofErr w:type="spellEnd"/>
      <w:r w:rsidRPr="00F8351D">
        <w:rPr>
          <w:sz w:val="26"/>
          <w:szCs w:val="26"/>
        </w:rPr>
        <w:t>.</w:t>
      </w:r>
    </w:p>
    <w:p w:rsidR="007238B2" w:rsidRPr="00F8351D" w:rsidRDefault="00514ADE" w:rsidP="00860D3B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Phòng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giao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dịch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Hớn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Quản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thông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báo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tối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đối</w:t>
      </w:r>
      <w:proofErr w:type="spellEnd"/>
      <w:r w:rsidRPr="00F8351D">
        <w:rPr>
          <w:sz w:val="26"/>
          <w:szCs w:val="26"/>
        </w:rPr>
        <w:t xml:space="preserve"> với </w:t>
      </w:r>
      <w:proofErr w:type="spellStart"/>
      <w:r w:rsidRPr="00F8351D">
        <w:rPr>
          <w:sz w:val="26"/>
          <w:szCs w:val="26"/>
        </w:rPr>
        <w:t>tiền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gửi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bằng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đồng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Việt</w:t>
      </w:r>
      <w:proofErr w:type="spellEnd"/>
      <w:r w:rsidRPr="00F8351D">
        <w:rPr>
          <w:sz w:val="26"/>
          <w:szCs w:val="26"/>
        </w:rPr>
        <w:t xml:space="preserve"> Nam </w:t>
      </w:r>
      <w:proofErr w:type="spellStart"/>
      <w:r w:rsidRPr="00F8351D">
        <w:rPr>
          <w:sz w:val="26"/>
          <w:szCs w:val="26"/>
        </w:rPr>
        <w:t>của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tổ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chức</w:t>
      </w:r>
      <w:proofErr w:type="spellEnd"/>
      <w:r w:rsidRPr="00F8351D">
        <w:rPr>
          <w:sz w:val="26"/>
          <w:szCs w:val="26"/>
        </w:rPr>
        <w:t xml:space="preserve">, </w:t>
      </w:r>
      <w:proofErr w:type="spellStart"/>
      <w:r w:rsidRPr="00F8351D">
        <w:rPr>
          <w:sz w:val="26"/>
          <w:szCs w:val="26"/>
        </w:rPr>
        <w:t>cá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nhân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tại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Ngân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hàng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Chính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sách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xã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="00165810" w:rsidRPr="00F8351D">
        <w:rPr>
          <w:sz w:val="26"/>
          <w:szCs w:val="26"/>
        </w:rPr>
        <w:t>hội</w:t>
      </w:r>
      <w:proofErr w:type="spellEnd"/>
      <w:r w:rsidR="00165810"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huyện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như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sau</w:t>
      </w:r>
      <w:proofErr w:type="spellEnd"/>
      <w:r w:rsidRPr="00F8351D">
        <w:rPr>
          <w:sz w:val="26"/>
          <w:szCs w:val="26"/>
        </w:rPr>
        <w:t>:</w:t>
      </w:r>
    </w:p>
    <w:p w:rsidR="007238B2" w:rsidRPr="00F8351D" w:rsidRDefault="007238B2" w:rsidP="00514ADE">
      <w:pPr>
        <w:ind w:firstLine="567"/>
        <w:contextualSpacing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Đơn</w:t>
      </w:r>
      <w:proofErr w:type="spellEnd"/>
      <w:r w:rsidRPr="00F8351D">
        <w:rPr>
          <w:i/>
          <w:sz w:val="26"/>
          <w:szCs w:val="26"/>
        </w:rPr>
        <w:t xml:space="preserve"> </w:t>
      </w:r>
      <w:proofErr w:type="spellStart"/>
      <w:r w:rsidRPr="00F8351D">
        <w:rPr>
          <w:i/>
          <w:sz w:val="26"/>
          <w:szCs w:val="26"/>
        </w:rPr>
        <w:t>vị</w:t>
      </w:r>
      <w:proofErr w:type="spellEnd"/>
      <w:r w:rsidRPr="00F8351D">
        <w:rPr>
          <w:i/>
          <w:sz w:val="26"/>
          <w:szCs w:val="26"/>
        </w:rPr>
        <w:t>: %/</w:t>
      </w:r>
      <w:proofErr w:type="spellStart"/>
      <w:r w:rsidRPr="00F8351D">
        <w:rPr>
          <w:i/>
          <w:sz w:val="26"/>
          <w:szCs w:val="26"/>
        </w:rPr>
        <w:t>năm</w:t>
      </w:r>
      <w:proofErr w:type="spell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37"/>
        <w:gridCol w:w="5183"/>
        <w:gridCol w:w="1985"/>
        <w:gridCol w:w="1701"/>
      </w:tblGrid>
      <w:tr w:rsidR="004C00FD" w:rsidRPr="00F8351D" w:rsidTr="007B5FD7">
        <w:trPr>
          <w:trHeight w:val="1483"/>
        </w:trPr>
        <w:tc>
          <w:tcPr>
            <w:tcW w:w="737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835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183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Nội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985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tối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đa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cá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701" w:type="dxa"/>
            <w:vAlign w:val="center"/>
          </w:tcPr>
          <w:p w:rsidR="004C00FD" w:rsidRPr="00F8351D" w:rsidRDefault="004C00FD" w:rsidP="00261CB3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8351D">
              <w:rPr>
                <w:b/>
                <w:sz w:val="26"/>
                <w:szCs w:val="26"/>
              </w:rPr>
              <w:t>Lãi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suất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tối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đa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áp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dụng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đối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với </w:t>
            </w:r>
            <w:proofErr w:type="spellStart"/>
            <w:r w:rsidRPr="00F8351D">
              <w:rPr>
                <w:b/>
                <w:sz w:val="26"/>
                <w:szCs w:val="26"/>
              </w:rPr>
              <w:t>tổ</w:t>
            </w:r>
            <w:proofErr w:type="spellEnd"/>
            <w:r w:rsidRPr="00F835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b/>
                <w:sz w:val="26"/>
                <w:szCs w:val="26"/>
              </w:rPr>
              <w:t>chức</w:t>
            </w:r>
            <w:proofErr w:type="spellEnd"/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1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Không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và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có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C00FD" w:rsidRPr="00F8351D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0,</w:t>
            </w:r>
            <w:r w:rsidR="007B5FD7">
              <w:rPr>
                <w:sz w:val="26"/>
                <w:szCs w:val="26"/>
                <w:lang w:val="vi-VN"/>
              </w:rPr>
              <w:t>2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2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01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01" w:type="dxa"/>
          </w:tcPr>
          <w:p w:rsidR="004C00FD" w:rsidRPr="007B5FD7" w:rsidRDefault="004C00FD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0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3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02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01" w:type="dxa"/>
          </w:tcPr>
          <w:p w:rsidR="004C00FD" w:rsidRPr="007B5FD7" w:rsidRDefault="004C00FD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0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4</w:t>
            </w:r>
          </w:p>
        </w:tc>
        <w:tc>
          <w:tcPr>
            <w:tcW w:w="5183" w:type="dxa"/>
          </w:tcPr>
          <w:p w:rsidR="004C00FD" w:rsidRPr="00F8351D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03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2,5</w:t>
            </w:r>
          </w:p>
        </w:tc>
        <w:tc>
          <w:tcPr>
            <w:tcW w:w="1701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2,</w:t>
            </w:r>
            <w:r w:rsidR="00FD1458">
              <w:rPr>
                <w:sz w:val="26"/>
                <w:szCs w:val="26"/>
                <w:lang w:val="vi-VN"/>
              </w:rPr>
              <w:t>3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5</w:t>
            </w:r>
          </w:p>
        </w:tc>
        <w:tc>
          <w:tcPr>
            <w:tcW w:w="5183" w:type="dxa"/>
          </w:tcPr>
          <w:p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06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3,5</w:t>
            </w:r>
          </w:p>
        </w:tc>
        <w:tc>
          <w:tcPr>
            <w:tcW w:w="1701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</w:t>
            </w:r>
            <w:r w:rsidR="00FD1458">
              <w:rPr>
                <w:sz w:val="26"/>
                <w:szCs w:val="26"/>
                <w:lang w:val="vi-VN"/>
              </w:rPr>
              <w:t>4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3C109F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6</w:t>
            </w:r>
          </w:p>
        </w:tc>
        <w:tc>
          <w:tcPr>
            <w:tcW w:w="5183" w:type="dxa"/>
          </w:tcPr>
          <w:p w:rsidR="004C00FD" w:rsidRPr="00F8351D" w:rsidRDefault="004C00FD" w:rsidP="003C109F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từ</w:t>
            </w:r>
            <w:proofErr w:type="spellEnd"/>
            <w:r w:rsidRPr="00F8351D">
              <w:rPr>
                <w:sz w:val="26"/>
                <w:szCs w:val="26"/>
              </w:rPr>
              <w:t xml:space="preserve"> 09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đến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dưới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985" w:type="dxa"/>
          </w:tcPr>
          <w:p w:rsidR="004C00FD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3,5</w:t>
            </w:r>
          </w:p>
        </w:tc>
        <w:tc>
          <w:tcPr>
            <w:tcW w:w="1701" w:type="dxa"/>
          </w:tcPr>
          <w:p w:rsidR="004C00FD" w:rsidRPr="007B5FD7" w:rsidRDefault="007B5FD7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3,</w:t>
            </w:r>
            <w:r w:rsidR="00FD1458">
              <w:rPr>
                <w:sz w:val="26"/>
                <w:szCs w:val="26"/>
                <w:lang w:val="vi-VN"/>
              </w:rPr>
              <w:t>4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7</w:t>
            </w:r>
          </w:p>
        </w:tc>
        <w:tc>
          <w:tcPr>
            <w:tcW w:w="5183" w:type="dxa"/>
          </w:tcPr>
          <w:p w:rsidR="004C00FD" w:rsidRPr="00F8351D" w:rsidRDefault="004C00FD" w:rsidP="004219B3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8351D">
              <w:rPr>
                <w:sz w:val="26"/>
                <w:szCs w:val="26"/>
              </w:rPr>
              <w:t xml:space="preserve">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02603F">
              <w:rPr>
                <w:sz w:val="26"/>
                <w:szCs w:val="26"/>
              </w:rPr>
              <w:t>5</w:t>
            </w:r>
            <w:r w:rsidR="007B5FD7">
              <w:rPr>
                <w:sz w:val="26"/>
                <w:szCs w:val="26"/>
                <w:lang w:val="vi-VN"/>
              </w:rPr>
              <w:t>,0</w:t>
            </w:r>
          </w:p>
        </w:tc>
        <w:tc>
          <w:tcPr>
            <w:tcW w:w="1701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4,</w:t>
            </w:r>
            <w:r w:rsidR="007B5FD7">
              <w:rPr>
                <w:sz w:val="26"/>
                <w:szCs w:val="26"/>
                <w:lang w:val="vi-VN"/>
              </w:rPr>
              <w:t>7</w:t>
            </w:r>
          </w:p>
        </w:tc>
      </w:tr>
      <w:tr w:rsidR="004C00FD" w:rsidRPr="00F8351D" w:rsidTr="007B5FD7">
        <w:trPr>
          <w:trHeight w:val="635"/>
        </w:trPr>
        <w:tc>
          <w:tcPr>
            <w:tcW w:w="737" w:type="dxa"/>
          </w:tcPr>
          <w:p w:rsidR="004C00FD" w:rsidRPr="00F8351D" w:rsidRDefault="004C00FD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F8351D">
              <w:rPr>
                <w:sz w:val="26"/>
                <w:szCs w:val="26"/>
              </w:rPr>
              <w:t>8</w:t>
            </w:r>
          </w:p>
        </w:tc>
        <w:tc>
          <w:tcPr>
            <w:tcW w:w="5183" w:type="dxa"/>
          </w:tcPr>
          <w:p w:rsidR="004C00FD" w:rsidRPr="00FD1458" w:rsidRDefault="004C00FD" w:rsidP="00860D3B">
            <w:pPr>
              <w:spacing w:before="120" w:after="120"/>
              <w:contextualSpacing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F8351D">
              <w:rPr>
                <w:sz w:val="26"/>
                <w:szCs w:val="26"/>
              </w:rPr>
              <w:t>Kỳ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hạn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proofErr w:type="spellStart"/>
            <w:r w:rsidRPr="00F8351D">
              <w:rPr>
                <w:sz w:val="26"/>
                <w:szCs w:val="26"/>
              </w:rPr>
              <w:t>trên</w:t>
            </w:r>
            <w:proofErr w:type="spellEnd"/>
            <w:r w:rsidRPr="00F8351D">
              <w:rPr>
                <w:sz w:val="26"/>
                <w:szCs w:val="26"/>
              </w:rPr>
              <w:t xml:space="preserve"> 12 </w:t>
            </w:r>
            <w:proofErr w:type="spellStart"/>
            <w:r w:rsidRPr="00F8351D">
              <w:rPr>
                <w:sz w:val="26"/>
                <w:szCs w:val="26"/>
              </w:rPr>
              <w:t>tháng</w:t>
            </w:r>
            <w:proofErr w:type="spellEnd"/>
            <w:r w:rsidRPr="00F8351D">
              <w:rPr>
                <w:sz w:val="26"/>
                <w:szCs w:val="26"/>
              </w:rPr>
              <w:t xml:space="preserve"> </w:t>
            </w:r>
            <w:r w:rsidR="00FD1458">
              <w:rPr>
                <w:sz w:val="26"/>
                <w:szCs w:val="26"/>
                <w:lang w:val="vi-VN"/>
              </w:rPr>
              <w:t xml:space="preserve"> đến dưới 24 tháng</w:t>
            </w:r>
          </w:p>
        </w:tc>
        <w:tc>
          <w:tcPr>
            <w:tcW w:w="1985" w:type="dxa"/>
          </w:tcPr>
          <w:p w:rsidR="004C00FD" w:rsidRPr="00FD1458" w:rsidRDefault="004C00FD" w:rsidP="00FD1458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02603F">
              <w:rPr>
                <w:sz w:val="26"/>
                <w:szCs w:val="26"/>
              </w:rPr>
              <w:t>5,</w:t>
            </w:r>
            <w:r w:rsidR="00FD1458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01" w:type="dxa"/>
          </w:tcPr>
          <w:p w:rsidR="004C00FD" w:rsidRPr="007B5FD7" w:rsidRDefault="004C00FD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4,</w:t>
            </w:r>
            <w:r w:rsidR="007B5FD7">
              <w:rPr>
                <w:sz w:val="26"/>
                <w:szCs w:val="26"/>
                <w:lang w:val="vi-VN"/>
              </w:rPr>
              <w:t>7</w:t>
            </w:r>
          </w:p>
        </w:tc>
      </w:tr>
      <w:tr w:rsidR="00FD1458" w:rsidRPr="00F8351D" w:rsidTr="007B5FD7">
        <w:trPr>
          <w:trHeight w:val="635"/>
        </w:trPr>
        <w:tc>
          <w:tcPr>
            <w:tcW w:w="737" w:type="dxa"/>
          </w:tcPr>
          <w:p w:rsidR="00FD1458" w:rsidRPr="00FD1458" w:rsidRDefault="00FD1458" w:rsidP="00860D3B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183" w:type="dxa"/>
          </w:tcPr>
          <w:p w:rsidR="00FD1458" w:rsidRPr="00FD1458" w:rsidRDefault="00FD1458" w:rsidP="00FD1458">
            <w:pPr>
              <w:spacing w:before="120" w:after="120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Kỳ hạn trên 24 tháng trở lên</w:t>
            </w:r>
          </w:p>
        </w:tc>
        <w:tc>
          <w:tcPr>
            <w:tcW w:w="1985" w:type="dxa"/>
          </w:tcPr>
          <w:p w:rsidR="00FD1458" w:rsidRPr="00FD1458" w:rsidRDefault="00FD1458" w:rsidP="00B757CF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5,3</w:t>
            </w:r>
          </w:p>
        </w:tc>
        <w:tc>
          <w:tcPr>
            <w:tcW w:w="1701" w:type="dxa"/>
          </w:tcPr>
          <w:p w:rsidR="00FD1458" w:rsidRPr="00FD1458" w:rsidRDefault="00FD1458" w:rsidP="007B5FD7">
            <w:pPr>
              <w:spacing w:before="120" w:after="120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4,7</w:t>
            </w:r>
          </w:p>
        </w:tc>
      </w:tr>
    </w:tbl>
    <w:p w:rsidR="00860D3B" w:rsidRPr="00F8351D" w:rsidRDefault="00860D3B" w:rsidP="008F595D">
      <w:pPr>
        <w:ind w:firstLine="720"/>
        <w:jc w:val="both"/>
        <w:rPr>
          <w:sz w:val="26"/>
          <w:szCs w:val="26"/>
        </w:rPr>
      </w:pPr>
    </w:p>
    <w:p w:rsidR="008F595D" w:rsidRPr="00F8351D" w:rsidRDefault="008F595D" w:rsidP="00573054">
      <w:pPr>
        <w:spacing w:before="240" w:after="120"/>
        <w:ind w:firstLine="567"/>
        <w:contextualSpacing/>
        <w:jc w:val="both"/>
        <w:rPr>
          <w:sz w:val="26"/>
          <w:szCs w:val="26"/>
        </w:rPr>
      </w:pPr>
      <w:proofErr w:type="spellStart"/>
      <w:r w:rsidRPr="00F8351D">
        <w:rPr>
          <w:sz w:val="26"/>
          <w:szCs w:val="26"/>
        </w:rPr>
        <w:t>Mức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lãi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suất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trên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được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áp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dụng</w:t>
      </w:r>
      <w:proofErr w:type="spellEnd"/>
      <w:r w:rsidR="00F278F1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đối</w:t>
      </w:r>
      <w:proofErr w:type="spellEnd"/>
      <w:r w:rsidR="003B6FD4" w:rsidRPr="00F8351D">
        <w:rPr>
          <w:sz w:val="26"/>
          <w:szCs w:val="26"/>
        </w:rPr>
        <w:t xml:space="preserve"> với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và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khác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được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quy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đổi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theo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phương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thức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trả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lãi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cuối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3B6FD4" w:rsidRPr="00F8351D">
        <w:rPr>
          <w:sz w:val="26"/>
          <w:szCs w:val="26"/>
        </w:rPr>
        <w:t>kỳ</w:t>
      </w:r>
      <w:proofErr w:type="spellEnd"/>
      <w:r w:rsidR="003B6FD4" w:rsidRPr="00F8351D">
        <w:rPr>
          <w:sz w:val="26"/>
          <w:szCs w:val="26"/>
        </w:rPr>
        <w:t xml:space="preserve"> </w:t>
      </w:r>
      <w:proofErr w:type="spellStart"/>
      <w:r w:rsidR="00F278F1" w:rsidRPr="00F8351D">
        <w:rPr>
          <w:sz w:val="26"/>
          <w:szCs w:val="26"/>
        </w:rPr>
        <w:t>kể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từ</w:t>
      </w:r>
      <w:proofErr w:type="spellEnd"/>
      <w:r w:rsidRPr="00F8351D">
        <w:rPr>
          <w:sz w:val="26"/>
          <w:szCs w:val="26"/>
        </w:rPr>
        <w:t xml:space="preserve"> </w:t>
      </w:r>
      <w:proofErr w:type="spellStart"/>
      <w:r w:rsidRPr="00F8351D">
        <w:rPr>
          <w:sz w:val="26"/>
          <w:szCs w:val="26"/>
        </w:rPr>
        <w:t>ngày</w:t>
      </w:r>
      <w:proofErr w:type="spellEnd"/>
      <w:r w:rsidRPr="00F8351D">
        <w:rPr>
          <w:sz w:val="26"/>
          <w:szCs w:val="26"/>
        </w:rPr>
        <w:t xml:space="preserve"> </w:t>
      </w:r>
      <w:r w:rsidR="00FD1458">
        <w:rPr>
          <w:sz w:val="26"/>
          <w:szCs w:val="26"/>
          <w:lang w:val="vi-VN"/>
        </w:rPr>
        <w:t>23</w:t>
      </w:r>
      <w:r w:rsidR="006E358B">
        <w:rPr>
          <w:sz w:val="26"/>
          <w:szCs w:val="26"/>
        </w:rPr>
        <w:t>/</w:t>
      </w:r>
      <w:r w:rsidR="0059156D">
        <w:rPr>
          <w:sz w:val="26"/>
          <w:szCs w:val="26"/>
          <w:lang w:val="vi-VN"/>
        </w:rPr>
        <w:t>1</w:t>
      </w:r>
      <w:r w:rsidR="00777943">
        <w:rPr>
          <w:sz w:val="26"/>
          <w:szCs w:val="26"/>
          <w:lang w:val="vi-VN"/>
        </w:rPr>
        <w:t>2</w:t>
      </w:r>
      <w:r w:rsidR="006E358B">
        <w:rPr>
          <w:sz w:val="26"/>
          <w:szCs w:val="26"/>
        </w:rPr>
        <w:t>/</w:t>
      </w:r>
      <w:r w:rsidR="00573054">
        <w:rPr>
          <w:sz w:val="26"/>
          <w:szCs w:val="26"/>
        </w:rPr>
        <w:t xml:space="preserve">2023 </w:t>
      </w:r>
      <w:proofErr w:type="spellStart"/>
      <w:r w:rsidR="00573054">
        <w:rPr>
          <w:sz w:val="26"/>
          <w:szCs w:val="26"/>
        </w:rPr>
        <w:t>và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thay</w:t>
      </w:r>
      <w:proofErr w:type="spellEnd"/>
      <w:r w:rsidR="00573054">
        <w:rPr>
          <w:sz w:val="26"/>
          <w:szCs w:val="26"/>
        </w:rPr>
        <w:t xml:space="preserve"> </w:t>
      </w:r>
      <w:proofErr w:type="spellStart"/>
      <w:r w:rsidR="00573054">
        <w:rPr>
          <w:sz w:val="26"/>
          <w:szCs w:val="26"/>
        </w:rPr>
        <w:t>thế</w:t>
      </w:r>
      <w:proofErr w:type="spellEnd"/>
      <w:r w:rsidR="00D56E40">
        <w:rPr>
          <w:sz w:val="26"/>
          <w:szCs w:val="26"/>
          <w:lang w:val="vi-VN"/>
        </w:rPr>
        <w:t xml:space="preserve"> Thông báo số</w:t>
      </w:r>
      <w:r w:rsidR="00573054">
        <w:rPr>
          <w:sz w:val="26"/>
          <w:szCs w:val="26"/>
        </w:rPr>
        <w:t xml:space="preserve"> </w:t>
      </w:r>
      <w:r w:rsidR="00FD1458">
        <w:rPr>
          <w:sz w:val="26"/>
          <w:szCs w:val="26"/>
          <w:lang w:val="vi-VN"/>
        </w:rPr>
        <w:t>886</w:t>
      </w:r>
      <w:r w:rsidR="00573054" w:rsidRPr="00F8351D">
        <w:rPr>
          <w:sz w:val="26"/>
          <w:szCs w:val="26"/>
        </w:rPr>
        <w:t xml:space="preserve">/TB-NHCS </w:t>
      </w:r>
      <w:proofErr w:type="spellStart"/>
      <w:r w:rsidR="00573054" w:rsidRPr="00F8351D">
        <w:rPr>
          <w:sz w:val="26"/>
          <w:szCs w:val="26"/>
        </w:rPr>
        <w:t>ngày</w:t>
      </w:r>
      <w:proofErr w:type="spellEnd"/>
      <w:r w:rsidR="00573054" w:rsidRPr="00F8351D">
        <w:rPr>
          <w:sz w:val="26"/>
          <w:szCs w:val="26"/>
        </w:rPr>
        <w:t xml:space="preserve"> </w:t>
      </w:r>
      <w:r w:rsidR="00FD1458">
        <w:rPr>
          <w:sz w:val="26"/>
          <w:szCs w:val="26"/>
          <w:lang w:val="vi-VN"/>
        </w:rPr>
        <w:t>13/12</w:t>
      </w:r>
      <w:r w:rsidR="0059156D">
        <w:rPr>
          <w:sz w:val="26"/>
          <w:szCs w:val="26"/>
          <w:lang w:val="vi-VN"/>
        </w:rPr>
        <w:t>/</w:t>
      </w:r>
      <w:r w:rsidR="00573054" w:rsidRPr="00F8351D">
        <w:rPr>
          <w:sz w:val="26"/>
          <w:szCs w:val="26"/>
          <w:lang w:val="vi-VN"/>
        </w:rPr>
        <w:t>202</w:t>
      </w:r>
      <w:r w:rsidR="00573054" w:rsidRPr="00F8351D">
        <w:rPr>
          <w:sz w:val="26"/>
          <w:szCs w:val="26"/>
        </w:rPr>
        <w:t xml:space="preserve">3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Giám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đốc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Bình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về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việc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quy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định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lãi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suất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tối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đối</w:t>
      </w:r>
      <w:proofErr w:type="spellEnd"/>
      <w:r w:rsidR="00573054" w:rsidRPr="00F8351D">
        <w:rPr>
          <w:sz w:val="26"/>
          <w:szCs w:val="26"/>
        </w:rPr>
        <w:t xml:space="preserve"> với </w:t>
      </w:r>
      <w:proofErr w:type="spellStart"/>
      <w:r w:rsidR="00573054" w:rsidRPr="00F8351D">
        <w:rPr>
          <w:sz w:val="26"/>
          <w:szCs w:val="26"/>
        </w:rPr>
        <w:t>tiền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gửi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bằng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đồng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Việt</w:t>
      </w:r>
      <w:proofErr w:type="spellEnd"/>
      <w:r w:rsidR="00573054" w:rsidRPr="00F8351D">
        <w:rPr>
          <w:sz w:val="26"/>
          <w:szCs w:val="26"/>
        </w:rPr>
        <w:t xml:space="preserve"> Nam </w:t>
      </w:r>
      <w:proofErr w:type="spellStart"/>
      <w:r w:rsidR="00573054" w:rsidRPr="00F8351D">
        <w:rPr>
          <w:sz w:val="26"/>
          <w:szCs w:val="26"/>
        </w:rPr>
        <w:t>của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tổ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chức</w:t>
      </w:r>
      <w:proofErr w:type="spellEnd"/>
      <w:r w:rsidR="00573054" w:rsidRPr="00F8351D">
        <w:rPr>
          <w:sz w:val="26"/>
          <w:szCs w:val="26"/>
        </w:rPr>
        <w:t xml:space="preserve">, </w:t>
      </w:r>
      <w:proofErr w:type="spellStart"/>
      <w:r w:rsidR="00573054" w:rsidRPr="00F8351D">
        <w:rPr>
          <w:sz w:val="26"/>
          <w:szCs w:val="26"/>
        </w:rPr>
        <w:t>cá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nhân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tại</w:t>
      </w:r>
      <w:proofErr w:type="spellEnd"/>
      <w:r w:rsidR="00573054" w:rsidRPr="00F8351D">
        <w:rPr>
          <w:sz w:val="26"/>
          <w:szCs w:val="26"/>
        </w:rPr>
        <w:t xml:space="preserve"> chi </w:t>
      </w:r>
      <w:proofErr w:type="spellStart"/>
      <w:r w:rsidR="00573054" w:rsidRPr="00F8351D">
        <w:rPr>
          <w:sz w:val="26"/>
          <w:szCs w:val="26"/>
        </w:rPr>
        <w:t>nhánh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Ngân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hàng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Chính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sách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xã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hội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tỉnh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Bình</w:t>
      </w:r>
      <w:proofErr w:type="spellEnd"/>
      <w:r w:rsidR="00573054" w:rsidRPr="00F8351D">
        <w:rPr>
          <w:sz w:val="26"/>
          <w:szCs w:val="26"/>
        </w:rPr>
        <w:t xml:space="preserve"> </w:t>
      </w:r>
      <w:proofErr w:type="spellStart"/>
      <w:r w:rsidR="00573054" w:rsidRPr="00F8351D">
        <w:rPr>
          <w:sz w:val="26"/>
          <w:szCs w:val="26"/>
        </w:rPr>
        <w:t>Phước</w:t>
      </w:r>
      <w:proofErr w:type="spellEnd"/>
      <w:r w:rsidR="00573054" w:rsidRPr="00F8351D">
        <w:rPr>
          <w:sz w:val="26"/>
          <w:szCs w:val="26"/>
        </w:rPr>
        <w:t>.</w:t>
      </w:r>
      <w:r w:rsidR="003B6FD4" w:rsidRPr="00F8351D">
        <w:rPr>
          <w:sz w:val="26"/>
          <w:szCs w:val="26"/>
        </w:rPr>
        <w:t>/.</w:t>
      </w:r>
    </w:p>
    <w:p w:rsidR="00CF7FEC" w:rsidRPr="00F8351D" w:rsidRDefault="00CF7FEC" w:rsidP="008F595D">
      <w:pPr>
        <w:ind w:firstLine="720"/>
        <w:jc w:val="both"/>
        <w:rPr>
          <w:sz w:val="26"/>
          <w:szCs w:val="26"/>
        </w:rPr>
      </w:pPr>
      <w:r w:rsidRPr="00F8351D">
        <w:rPr>
          <w:sz w:val="26"/>
          <w:szCs w:val="26"/>
        </w:rPr>
        <w:t xml:space="preserve">  </w:t>
      </w:r>
    </w:p>
    <w:p w:rsidR="00CF7FEC" w:rsidRPr="00F8351D" w:rsidRDefault="00165810" w:rsidP="008F595D">
      <w:pPr>
        <w:ind w:firstLine="720"/>
        <w:jc w:val="both"/>
        <w:rPr>
          <w:i/>
          <w:sz w:val="26"/>
          <w:szCs w:val="26"/>
        </w:rPr>
      </w:pP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r w:rsidRPr="00F8351D">
        <w:rPr>
          <w:sz w:val="26"/>
          <w:szCs w:val="26"/>
        </w:rPr>
        <w:tab/>
      </w:r>
      <w:proofErr w:type="spellStart"/>
      <w:r w:rsidRPr="00F8351D">
        <w:rPr>
          <w:i/>
          <w:sz w:val="26"/>
          <w:szCs w:val="26"/>
        </w:rPr>
        <w:t>Nguồn</w:t>
      </w:r>
      <w:proofErr w:type="spellEnd"/>
      <w:r w:rsidRPr="00F8351D">
        <w:rPr>
          <w:i/>
          <w:sz w:val="26"/>
          <w:szCs w:val="26"/>
        </w:rPr>
        <w:t>: N</w:t>
      </w:r>
      <w:r w:rsidR="00CF7FEC" w:rsidRPr="00F8351D">
        <w:rPr>
          <w:i/>
          <w:sz w:val="26"/>
          <w:szCs w:val="26"/>
        </w:rPr>
        <w:t xml:space="preserve">HCSXH </w:t>
      </w:r>
      <w:proofErr w:type="spellStart"/>
      <w:r w:rsidR="00CF7FEC" w:rsidRPr="00F8351D">
        <w:rPr>
          <w:i/>
          <w:sz w:val="26"/>
          <w:szCs w:val="26"/>
        </w:rPr>
        <w:t>huyện</w:t>
      </w:r>
      <w:proofErr w:type="spellEnd"/>
    </w:p>
    <w:sectPr w:rsidR="00CF7FEC" w:rsidRPr="00F8351D" w:rsidSect="00F8351D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2314"/>
    <w:rsid w:val="0000709D"/>
    <w:rsid w:val="00011476"/>
    <w:rsid w:val="0002603F"/>
    <w:rsid w:val="0002775F"/>
    <w:rsid w:val="000655A8"/>
    <w:rsid w:val="00066EF3"/>
    <w:rsid w:val="00070836"/>
    <w:rsid w:val="00083327"/>
    <w:rsid w:val="0009281F"/>
    <w:rsid w:val="000A2818"/>
    <w:rsid w:val="000A5447"/>
    <w:rsid w:val="000A6DD8"/>
    <w:rsid w:val="000A70F1"/>
    <w:rsid w:val="000B5CFD"/>
    <w:rsid w:val="000B6874"/>
    <w:rsid w:val="000E2B3F"/>
    <w:rsid w:val="001222D7"/>
    <w:rsid w:val="00125D69"/>
    <w:rsid w:val="00134AF0"/>
    <w:rsid w:val="0014537E"/>
    <w:rsid w:val="001511DF"/>
    <w:rsid w:val="001527C9"/>
    <w:rsid w:val="00162D7B"/>
    <w:rsid w:val="00165810"/>
    <w:rsid w:val="00167605"/>
    <w:rsid w:val="00174B75"/>
    <w:rsid w:val="001A13DF"/>
    <w:rsid w:val="001A477B"/>
    <w:rsid w:val="001A5569"/>
    <w:rsid w:val="001C7335"/>
    <w:rsid w:val="001D23A8"/>
    <w:rsid w:val="001D7143"/>
    <w:rsid w:val="001E0DB0"/>
    <w:rsid w:val="001E1A79"/>
    <w:rsid w:val="001E6659"/>
    <w:rsid w:val="00206397"/>
    <w:rsid w:val="00216238"/>
    <w:rsid w:val="00216918"/>
    <w:rsid w:val="00225EDB"/>
    <w:rsid w:val="00230DC4"/>
    <w:rsid w:val="00231E13"/>
    <w:rsid w:val="00233DDF"/>
    <w:rsid w:val="00237AC3"/>
    <w:rsid w:val="00240FE3"/>
    <w:rsid w:val="00244147"/>
    <w:rsid w:val="002451E6"/>
    <w:rsid w:val="00245B56"/>
    <w:rsid w:val="00247E4B"/>
    <w:rsid w:val="002617DD"/>
    <w:rsid w:val="00261CB3"/>
    <w:rsid w:val="002652A1"/>
    <w:rsid w:val="00271B62"/>
    <w:rsid w:val="00273877"/>
    <w:rsid w:val="002760EE"/>
    <w:rsid w:val="00292736"/>
    <w:rsid w:val="002932B9"/>
    <w:rsid w:val="00294CE0"/>
    <w:rsid w:val="002A1057"/>
    <w:rsid w:val="002A5044"/>
    <w:rsid w:val="002C3DB2"/>
    <w:rsid w:val="00305665"/>
    <w:rsid w:val="003059AB"/>
    <w:rsid w:val="003123DF"/>
    <w:rsid w:val="00315D40"/>
    <w:rsid w:val="00336436"/>
    <w:rsid w:val="003378D3"/>
    <w:rsid w:val="00341BD6"/>
    <w:rsid w:val="00345173"/>
    <w:rsid w:val="00355EDB"/>
    <w:rsid w:val="00355F26"/>
    <w:rsid w:val="00357AC0"/>
    <w:rsid w:val="00364F1A"/>
    <w:rsid w:val="00371812"/>
    <w:rsid w:val="00386127"/>
    <w:rsid w:val="00390499"/>
    <w:rsid w:val="00390F8E"/>
    <w:rsid w:val="0039107C"/>
    <w:rsid w:val="003A2178"/>
    <w:rsid w:val="003A50C0"/>
    <w:rsid w:val="003B6FD4"/>
    <w:rsid w:val="003C109F"/>
    <w:rsid w:val="003C2262"/>
    <w:rsid w:val="003C6470"/>
    <w:rsid w:val="003D0354"/>
    <w:rsid w:val="003D0424"/>
    <w:rsid w:val="003F208C"/>
    <w:rsid w:val="003F7923"/>
    <w:rsid w:val="00405A0C"/>
    <w:rsid w:val="0040750D"/>
    <w:rsid w:val="00407AA3"/>
    <w:rsid w:val="00410233"/>
    <w:rsid w:val="004219B3"/>
    <w:rsid w:val="00427A9C"/>
    <w:rsid w:val="00430211"/>
    <w:rsid w:val="00433791"/>
    <w:rsid w:val="00447C6B"/>
    <w:rsid w:val="00450EE5"/>
    <w:rsid w:val="004524AE"/>
    <w:rsid w:val="00482F4A"/>
    <w:rsid w:val="00484053"/>
    <w:rsid w:val="00487A71"/>
    <w:rsid w:val="004C00FD"/>
    <w:rsid w:val="004C1FC9"/>
    <w:rsid w:val="004C3FA0"/>
    <w:rsid w:val="004C5C5B"/>
    <w:rsid w:val="004C5F4F"/>
    <w:rsid w:val="004E0DC4"/>
    <w:rsid w:val="004E119F"/>
    <w:rsid w:val="004F02E2"/>
    <w:rsid w:val="004F2A2E"/>
    <w:rsid w:val="00502D06"/>
    <w:rsid w:val="005119FA"/>
    <w:rsid w:val="00514ADE"/>
    <w:rsid w:val="005223A0"/>
    <w:rsid w:val="0052766A"/>
    <w:rsid w:val="005407F4"/>
    <w:rsid w:val="00543DD3"/>
    <w:rsid w:val="00551D48"/>
    <w:rsid w:val="005579AF"/>
    <w:rsid w:val="00564F92"/>
    <w:rsid w:val="00572DF3"/>
    <w:rsid w:val="00573054"/>
    <w:rsid w:val="0059156D"/>
    <w:rsid w:val="005A517C"/>
    <w:rsid w:val="005A63FF"/>
    <w:rsid w:val="005A7A6F"/>
    <w:rsid w:val="005B63EB"/>
    <w:rsid w:val="005B720C"/>
    <w:rsid w:val="005C3B2C"/>
    <w:rsid w:val="005C7CE0"/>
    <w:rsid w:val="005E1207"/>
    <w:rsid w:val="0062362E"/>
    <w:rsid w:val="00630EDB"/>
    <w:rsid w:val="00633FCB"/>
    <w:rsid w:val="006454E8"/>
    <w:rsid w:val="00667540"/>
    <w:rsid w:val="006769DB"/>
    <w:rsid w:val="006A06F2"/>
    <w:rsid w:val="006C1429"/>
    <w:rsid w:val="006C3F9B"/>
    <w:rsid w:val="006D0BB3"/>
    <w:rsid w:val="006E358B"/>
    <w:rsid w:val="006F4672"/>
    <w:rsid w:val="007015B0"/>
    <w:rsid w:val="00703C0A"/>
    <w:rsid w:val="00707DEA"/>
    <w:rsid w:val="00710781"/>
    <w:rsid w:val="00711178"/>
    <w:rsid w:val="007238B2"/>
    <w:rsid w:val="007260CB"/>
    <w:rsid w:val="0072689C"/>
    <w:rsid w:val="00735739"/>
    <w:rsid w:val="00750749"/>
    <w:rsid w:val="007622AB"/>
    <w:rsid w:val="00763AA5"/>
    <w:rsid w:val="007667D1"/>
    <w:rsid w:val="00777943"/>
    <w:rsid w:val="0078135C"/>
    <w:rsid w:val="00785197"/>
    <w:rsid w:val="007A4565"/>
    <w:rsid w:val="007B330F"/>
    <w:rsid w:val="007B5FD7"/>
    <w:rsid w:val="007C2B5C"/>
    <w:rsid w:val="007D2314"/>
    <w:rsid w:val="007D54E9"/>
    <w:rsid w:val="007D79E7"/>
    <w:rsid w:val="007D7AEF"/>
    <w:rsid w:val="007E1485"/>
    <w:rsid w:val="007F1856"/>
    <w:rsid w:val="0080462F"/>
    <w:rsid w:val="008152EC"/>
    <w:rsid w:val="00820C68"/>
    <w:rsid w:val="00824E41"/>
    <w:rsid w:val="00825137"/>
    <w:rsid w:val="00826429"/>
    <w:rsid w:val="008311F9"/>
    <w:rsid w:val="00840D24"/>
    <w:rsid w:val="00860D3B"/>
    <w:rsid w:val="0086189B"/>
    <w:rsid w:val="00866A28"/>
    <w:rsid w:val="008824C2"/>
    <w:rsid w:val="00891297"/>
    <w:rsid w:val="008918D3"/>
    <w:rsid w:val="00892FB5"/>
    <w:rsid w:val="00895DC7"/>
    <w:rsid w:val="008A11F1"/>
    <w:rsid w:val="008C1107"/>
    <w:rsid w:val="008C4F55"/>
    <w:rsid w:val="008D0196"/>
    <w:rsid w:val="008D0B7E"/>
    <w:rsid w:val="008E0DC5"/>
    <w:rsid w:val="008E407D"/>
    <w:rsid w:val="008F09F8"/>
    <w:rsid w:val="008F314F"/>
    <w:rsid w:val="008F447E"/>
    <w:rsid w:val="008F595D"/>
    <w:rsid w:val="009017A5"/>
    <w:rsid w:val="00907AFC"/>
    <w:rsid w:val="00915972"/>
    <w:rsid w:val="00916584"/>
    <w:rsid w:val="00932666"/>
    <w:rsid w:val="0094200C"/>
    <w:rsid w:val="00947DFD"/>
    <w:rsid w:val="00947F78"/>
    <w:rsid w:val="009541BD"/>
    <w:rsid w:val="009609C0"/>
    <w:rsid w:val="009726DA"/>
    <w:rsid w:val="009956B3"/>
    <w:rsid w:val="009A4573"/>
    <w:rsid w:val="009C3B66"/>
    <w:rsid w:val="009D3644"/>
    <w:rsid w:val="009E7A49"/>
    <w:rsid w:val="009F480F"/>
    <w:rsid w:val="009F4DD4"/>
    <w:rsid w:val="00A006DB"/>
    <w:rsid w:val="00A01482"/>
    <w:rsid w:val="00A02070"/>
    <w:rsid w:val="00A2070F"/>
    <w:rsid w:val="00A44735"/>
    <w:rsid w:val="00A46C2D"/>
    <w:rsid w:val="00A51309"/>
    <w:rsid w:val="00A53146"/>
    <w:rsid w:val="00A6440D"/>
    <w:rsid w:val="00A8360F"/>
    <w:rsid w:val="00A87626"/>
    <w:rsid w:val="00AB1389"/>
    <w:rsid w:val="00AB2B25"/>
    <w:rsid w:val="00AB5D16"/>
    <w:rsid w:val="00AC1EB4"/>
    <w:rsid w:val="00AF1398"/>
    <w:rsid w:val="00AF3C04"/>
    <w:rsid w:val="00B03A7F"/>
    <w:rsid w:val="00B078E7"/>
    <w:rsid w:val="00B173EF"/>
    <w:rsid w:val="00B20FFA"/>
    <w:rsid w:val="00B30F39"/>
    <w:rsid w:val="00B45066"/>
    <w:rsid w:val="00B5319D"/>
    <w:rsid w:val="00B536FC"/>
    <w:rsid w:val="00B61D3B"/>
    <w:rsid w:val="00B64F42"/>
    <w:rsid w:val="00B747CC"/>
    <w:rsid w:val="00B757CF"/>
    <w:rsid w:val="00B90DA9"/>
    <w:rsid w:val="00BD5FC6"/>
    <w:rsid w:val="00BE768C"/>
    <w:rsid w:val="00BF3E2F"/>
    <w:rsid w:val="00BF6EAF"/>
    <w:rsid w:val="00C16285"/>
    <w:rsid w:val="00C2216C"/>
    <w:rsid w:val="00C27296"/>
    <w:rsid w:val="00C30278"/>
    <w:rsid w:val="00C36D41"/>
    <w:rsid w:val="00C4398C"/>
    <w:rsid w:val="00C66308"/>
    <w:rsid w:val="00C66488"/>
    <w:rsid w:val="00C70BE0"/>
    <w:rsid w:val="00C7247C"/>
    <w:rsid w:val="00C81EDE"/>
    <w:rsid w:val="00C8313B"/>
    <w:rsid w:val="00CB15CC"/>
    <w:rsid w:val="00CB73DE"/>
    <w:rsid w:val="00CE381B"/>
    <w:rsid w:val="00CE47F2"/>
    <w:rsid w:val="00CE6362"/>
    <w:rsid w:val="00CF5B3E"/>
    <w:rsid w:val="00CF74A7"/>
    <w:rsid w:val="00CF7FEC"/>
    <w:rsid w:val="00D15EC1"/>
    <w:rsid w:val="00D2028E"/>
    <w:rsid w:val="00D21F2D"/>
    <w:rsid w:val="00D24AEB"/>
    <w:rsid w:val="00D25BFD"/>
    <w:rsid w:val="00D27787"/>
    <w:rsid w:val="00D307C7"/>
    <w:rsid w:val="00D45E4C"/>
    <w:rsid w:val="00D52BA4"/>
    <w:rsid w:val="00D56E40"/>
    <w:rsid w:val="00D6366E"/>
    <w:rsid w:val="00D76F43"/>
    <w:rsid w:val="00D77497"/>
    <w:rsid w:val="00D82F01"/>
    <w:rsid w:val="00D96B3F"/>
    <w:rsid w:val="00DA6B51"/>
    <w:rsid w:val="00DB03E2"/>
    <w:rsid w:val="00DD1FE9"/>
    <w:rsid w:val="00DD27F1"/>
    <w:rsid w:val="00DD4641"/>
    <w:rsid w:val="00DE1059"/>
    <w:rsid w:val="00DE6021"/>
    <w:rsid w:val="00DF262F"/>
    <w:rsid w:val="00E07F1A"/>
    <w:rsid w:val="00E44542"/>
    <w:rsid w:val="00E47B75"/>
    <w:rsid w:val="00E57CDD"/>
    <w:rsid w:val="00E6014C"/>
    <w:rsid w:val="00E67A77"/>
    <w:rsid w:val="00E72150"/>
    <w:rsid w:val="00E7518F"/>
    <w:rsid w:val="00E80A3A"/>
    <w:rsid w:val="00E91BE9"/>
    <w:rsid w:val="00EC315F"/>
    <w:rsid w:val="00EF0B13"/>
    <w:rsid w:val="00F00329"/>
    <w:rsid w:val="00F05921"/>
    <w:rsid w:val="00F15F4D"/>
    <w:rsid w:val="00F263AD"/>
    <w:rsid w:val="00F278F1"/>
    <w:rsid w:val="00F27B2C"/>
    <w:rsid w:val="00F338EA"/>
    <w:rsid w:val="00F4120D"/>
    <w:rsid w:val="00F43C89"/>
    <w:rsid w:val="00F46F64"/>
    <w:rsid w:val="00F576BD"/>
    <w:rsid w:val="00F6745F"/>
    <w:rsid w:val="00F75000"/>
    <w:rsid w:val="00F8351D"/>
    <w:rsid w:val="00F853D8"/>
    <w:rsid w:val="00F85B90"/>
    <w:rsid w:val="00FB45E5"/>
    <w:rsid w:val="00FC5442"/>
    <w:rsid w:val="00FC7081"/>
    <w:rsid w:val="00FD1458"/>
    <w:rsid w:val="00FD2FA2"/>
    <w:rsid w:val="00FE2803"/>
    <w:rsid w:val="00FE302E"/>
    <w:rsid w:val="00FE6A39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11F15-ABCE-499A-AEC5-50ECFE5D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2E"/>
    <w:rPr>
      <w:sz w:val="24"/>
      <w:szCs w:val="24"/>
    </w:rPr>
  </w:style>
  <w:style w:type="paragraph" w:styleId="Heading1">
    <w:name w:val="heading 1"/>
    <w:basedOn w:val="Normal"/>
    <w:qFormat/>
    <w:rsid w:val="007D23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13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D2314"/>
  </w:style>
  <w:style w:type="character" w:customStyle="1" w:styleId="Date1">
    <w:name w:val="Date1"/>
    <w:basedOn w:val="DefaultParagraphFont"/>
    <w:rsid w:val="007D2314"/>
  </w:style>
  <w:style w:type="character" w:customStyle="1" w:styleId="apple-converted-space">
    <w:name w:val="apple-converted-space"/>
    <w:basedOn w:val="DefaultParagraphFont"/>
    <w:rsid w:val="007D2314"/>
  </w:style>
  <w:style w:type="character" w:styleId="Strong">
    <w:name w:val="Strong"/>
    <w:qFormat/>
    <w:rsid w:val="00820C68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A13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1D2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23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64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BF90-6D2A-4296-8A4D-05A4C90D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bk</cp:lastModifiedBy>
  <cp:revision>96</cp:revision>
  <cp:lastPrinted>2020-05-11T01:29:00Z</cp:lastPrinted>
  <dcterms:created xsi:type="dcterms:W3CDTF">2020-05-11T06:39:00Z</dcterms:created>
  <dcterms:modified xsi:type="dcterms:W3CDTF">2023-12-25T03:39:00Z</dcterms:modified>
</cp:coreProperties>
</file>